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51" w:rsidRPr="00D04318" w:rsidRDefault="00BF6151" w:rsidP="00BF6151">
      <w:pPr>
        <w:autoSpaceDE w:val="0"/>
        <w:autoSpaceDN w:val="0"/>
        <w:adjustRightInd w:val="0"/>
        <w:spacing w:before="67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ФИНАНСОВ</w:t>
      </w:r>
    </w:p>
    <w:p w:rsidR="00BF6151" w:rsidRPr="00D04318" w:rsidRDefault="00BF6151" w:rsidP="00BF6151">
      <w:pPr>
        <w:autoSpaceDE w:val="0"/>
        <w:autoSpaceDN w:val="0"/>
        <w:adjustRightInd w:val="0"/>
        <w:spacing w:before="67" w:after="0" w:line="240" w:lineRule="auto"/>
        <w:ind w:left="6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ЗАТО Г. СЕВЕРОМОРСК</w:t>
      </w:r>
    </w:p>
    <w:p w:rsidR="00BF6151" w:rsidRPr="00D04318" w:rsidRDefault="00BF6151" w:rsidP="00BF6151">
      <w:pPr>
        <w:autoSpaceDE w:val="0"/>
        <w:autoSpaceDN w:val="0"/>
        <w:adjustRightInd w:val="0"/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51" w:rsidRPr="00D04318" w:rsidRDefault="00BF6151" w:rsidP="00BF6151">
      <w:pPr>
        <w:autoSpaceDE w:val="0"/>
        <w:autoSpaceDN w:val="0"/>
        <w:adjustRightInd w:val="0"/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51" w:rsidRPr="00D04318" w:rsidRDefault="00BF6151" w:rsidP="00BF6151">
      <w:pPr>
        <w:autoSpaceDE w:val="0"/>
        <w:autoSpaceDN w:val="0"/>
        <w:adjustRightInd w:val="0"/>
        <w:spacing w:after="0" w:line="240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51" w:rsidRPr="00D04318" w:rsidRDefault="00BF6151" w:rsidP="00BF6151">
      <w:pPr>
        <w:autoSpaceDE w:val="0"/>
        <w:autoSpaceDN w:val="0"/>
        <w:adjustRightInd w:val="0"/>
        <w:spacing w:before="24" w:after="293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BF6151" w:rsidRPr="00D04318" w:rsidRDefault="00BF6151" w:rsidP="00BF6151">
      <w:pPr>
        <w:autoSpaceDE w:val="0"/>
        <w:autoSpaceDN w:val="0"/>
        <w:adjustRightInd w:val="0"/>
        <w:spacing w:before="24" w:after="293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основной деятельности</w:t>
      </w:r>
    </w:p>
    <w:p w:rsidR="00BF6151" w:rsidRDefault="00BF6151" w:rsidP="00BF6151">
      <w:pPr>
        <w:autoSpaceDE w:val="0"/>
        <w:autoSpaceDN w:val="0"/>
        <w:adjustRightInd w:val="0"/>
        <w:spacing w:before="24" w:after="293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F6151" w:rsidRPr="00816283" w:rsidRDefault="00BF6151" w:rsidP="00BF6151">
      <w:pPr>
        <w:autoSpaceDE w:val="0"/>
        <w:autoSpaceDN w:val="0"/>
        <w:adjustRightInd w:val="0"/>
        <w:spacing w:before="24" w:after="293" w:line="240" w:lineRule="auto"/>
        <w:ind w:right="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5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8162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  <w:bookmarkStart w:id="0" w:name="_GoBack"/>
      <w:bookmarkEnd w:id="0"/>
      <w:r w:rsidRPr="00175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175F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№ </w:t>
      </w:r>
      <w:r w:rsidR="008162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</w:t>
      </w:r>
    </w:p>
    <w:p w:rsidR="00BF6151" w:rsidRPr="00175FB9" w:rsidRDefault="00BF6151" w:rsidP="00BF6151">
      <w:pPr>
        <w:tabs>
          <w:tab w:val="left" w:pos="5387"/>
        </w:tabs>
        <w:autoSpaceDE w:val="0"/>
        <w:autoSpaceDN w:val="0"/>
        <w:adjustRightInd w:val="0"/>
        <w:spacing w:before="34" w:after="0" w:line="278" w:lineRule="exact"/>
        <w:ind w:right="39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взыскания в бюджет</w:t>
      </w:r>
      <w:r w:rsidR="002924ED" w:rsidRPr="0029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г. Североморск</w:t>
      </w:r>
      <w:r w:rsidRPr="00175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75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еиспользованных остатков субсидий, предоставленных из бюджета муниципальным бюджетным и автономным учреждениям, муниципальным унитарным предприятиям</w:t>
      </w:r>
    </w:p>
    <w:p w:rsidR="00BF6151" w:rsidRPr="00D04318" w:rsidRDefault="00BF6151" w:rsidP="00BF6151">
      <w:pPr>
        <w:autoSpaceDE w:val="0"/>
        <w:autoSpaceDN w:val="0"/>
        <w:adjustRightInd w:val="0"/>
        <w:spacing w:after="0" w:line="240" w:lineRule="exact"/>
        <w:ind w:firstLine="5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151" w:rsidRDefault="00BF6151" w:rsidP="00BF6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6151" w:rsidRDefault="00BF6151" w:rsidP="00BF6151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6AB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организации исполнения бюджета муниципального образования ЗАТО г. Североморск, в соответствии с Бюджетным кодексом Российской Федерации, Ф</w:t>
      </w:r>
      <w:r w:rsidRPr="007C6AB0">
        <w:rPr>
          <w:rFonts w:ascii="Times New Roman" w:hAnsi="Times New Roman" w:cs="Times New Roman"/>
          <w:color w:val="000000"/>
          <w:sz w:val="26"/>
          <w:szCs w:val="26"/>
        </w:rPr>
        <w:t>едеральн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ым</w:t>
      </w:r>
      <w:r w:rsidRPr="007C6AB0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7C6AB0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C6AB0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>.05.</w:t>
      </w:r>
      <w:r w:rsidRPr="007C6AB0">
        <w:rPr>
          <w:rFonts w:ascii="Times New Roman" w:hAnsi="Times New Roman" w:cs="Times New Roman"/>
          <w:color w:val="000000"/>
          <w:sz w:val="26"/>
          <w:szCs w:val="26"/>
        </w:rPr>
        <w:t>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пунктом 3.17 статьи 2 Федерального закона от 03 ноября 2006 года №174-ФЗ «Об автономных учреждениях»,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приказываю: </w:t>
      </w:r>
    </w:p>
    <w:p w:rsidR="00DD3E3F" w:rsidRPr="00DD3E3F" w:rsidRDefault="00BF6151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</w:t>
      </w:r>
      <w:r w:rsid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Порядок взыскания 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бюджет</w:t>
      </w:r>
      <w:r w:rsid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Североморск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неиспользованных остатков субсидий, предоставленных </w:t>
      </w:r>
      <w:r w:rsid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бюджетным и автономным учреждениям, </w:t>
      </w:r>
      <w:r w:rsid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унитарным предприятиям (далее - Порядок).</w:t>
      </w:r>
    </w:p>
    <w:p w:rsidR="00DD3E3F" w:rsidRP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Применять настоящий Приказ:</w:t>
      </w:r>
    </w:p>
    <w:p w:rsidR="00DD3E3F" w:rsidRP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бюджетным и автономным учреждениям (далее - учреждения),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унитарным предприятиям (далее - предприятия), которым в органах Федерального казначейства открыты лицевые счета для учета операций с субсидиями на осуществление капитальных вложений в объекты строительства или приобретение объектов недвижимого имущества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муниципальную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Североморск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со статьей 78.2 Бюджетного кодекса Российской Федерации (далее - субсидия на осуществление капитальных вложений);</w:t>
      </w:r>
    </w:p>
    <w:p w:rsidR="00DD3E3F" w:rsidRP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учреждениям, которым в органах Федерального казначейства открыты лицевые счета для учета операций с субсидиями на иные цели в соответствии с абзацем вторым пункта 1 статьи 78.1 Бюджетного кодекса Российской Федерации.</w:t>
      </w:r>
    </w:p>
    <w:p w:rsidR="00DD3E3F" w:rsidRP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3.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целях реализации Порядка, утвержденного настоящим приказом,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ЗАТО г. Североморск, ее структурным подразделениям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осуществляющим функции и полномочия учредителя учреждений, и главным распорядителям средств бюджета, осуществляющим предоставление субсидий на капитальные вложения предприятиям,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закрепить правовым актом главного администратора доходов бюджета полномочия по администрированию доходов, полученных от возврата неиспользованных остатков субсидий на иные цели и субсидий на осуществление капитальных вложений.</w:t>
      </w:r>
    </w:p>
    <w:p w:rsidR="00DD3E3F" w:rsidRP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Настоящий Приказ вступает в силу с 1 января 2015.</w:t>
      </w:r>
    </w:p>
    <w:p w:rsid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Pr="00DD3E3F" w:rsidRDefault="00DD3E3F" w:rsidP="00DD3E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Начальник Управления финансов</w:t>
      </w:r>
    </w:p>
    <w:p w:rsidR="00DD3E3F" w:rsidRPr="00DD3E3F" w:rsidRDefault="00DD3E3F" w:rsidP="00DD3E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ЗАТО г. Североморск                                             Р. Ф. Носова</w:t>
      </w:r>
    </w:p>
    <w:p w:rsidR="00DD3E3F" w:rsidRP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Default="00DD3E3F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E0EEA" w:rsidRDefault="001E0EEA" w:rsidP="001E0E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lastRenderedPageBreak/>
        <w:t xml:space="preserve">Утвержден Приказом </w:t>
      </w:r>
    </w:p>
    <w:p w:rsidR="001E0EEA" w:rsidRDefault="001E0EEA" w:rsidP="001E0E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Управления финансов </w:t>
      </w:r>
    </w:p>
    <w:p w:rsidR="001E0EEA" w:rsidRDefault="001E0EEA" w:rsidP="001E0EEA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от 30.12.2014 № 96</w:t>
      </w:r>
    </w:p>
    <w:p w:rsidR="00987C51" w:rsidRDefault="00987C51" w:rsidP="00DD3E3F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Pr="00987C51" w:rsidRDefault="00DD3E3F" w:rsidP="00987C5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взыскания в бюджет </w:t>
      </w:r>
      <w:r w:rsid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ЗАТО г. Североморск </w:t>
      </w:r>
      <w:r w:rsidRP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неиспользованных остатков субсидий, предоставленных из бюджета </w:t>
      </w:r>
      <w:r w:rsid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муниципальным </w:t>
      </w:r>
      <w:r w:rsidRP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бюджетным и автономным учреждениям, </w:t>
      </w:r>
      <w:r w:rsid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муниципальным</w:t>
      </w:r>
      <w:r w:rsidRPr="00987C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унитарным предприятиям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Настоящий Порядок разработан в соответствии с пунктом 4 статьи 78.2 Бюджетного кодекса Российской Федерации, пунктом 19 статьи 30 Федерального закона от 8 мая 2010 года № 83-Ф3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пунктом 3.17 статьи 2 Федерального закона от 3 ноября 2006 года №174-ФЗ «Об автономных учреждениях» и устанавливает порядок взыскания в бюджет </w:t>
      </w:r>
      <w:r w:rsidR="00987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Североморск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неиспользованных на 1 января текущего финансового года остатков субсидий, ранее предоставленных в соответствии с </w:t>
      </w:r>
      <w:r w:rsidR="00987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о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бюджете на соответствующий финансовый год и плановый период:</w:t>
      </w:r>
    </w:p>
    <w:p w:rsidR="00DD3E3F" w:rsidRPr="00DD3E3F" w:rsidRDefault="00987C51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бюджетным и автономным учреждениям,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муниципальным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унитарным предприятиям, лицевые счета которым открыты в органах Федерального казначейства (далее соответственно - учреждение, предприятие) на осуществление капитальных вложений в объекты капитального строительства или приобретение объектов недвижимого имущества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муниципальную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собственность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Североморск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со статьей 78.2 Бюджетного кодекса Российской Федерации (далее - субсидии на капитальные вложения);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учреждениям на иные цели в соответствии с абзацем вторым пункта 1 статьи 78.1 Бюджетного кодекса Российской Федерации (далее - субсидии на иные цели).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Взысканию подлежат неиспользованные остатки: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субсидий на капитальные вложения, в отношении которых </w:t>
      </w:r>
      <w:r w:rsidR="00987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Администрацией ЗАТО г. Североморск, ее структурными подразделениями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осуществляющими функции и полномочия учредителя учреждений (далее - орган, осуществляющий функции и полномочия учредителя), или соответствующими главными распорядителями средств бюджета, осуществляющими предоставление субсидий на капитальные вложения предприятиям, не принято решение о наличии потребности в направлении их на те же цели в текущем финансовом году (далее - остатки субсидий на капитальные вложения) и невозвращенные в доход бюджета в соответствии с порядком, установленным соглашениями о предоставлении субсидии, заключаемыми между</w:t>
      </w:r>
      <w:r w:rsidR="00987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получателем бюджетных средств, предоставляющим субсидию, и учреждением, предприятием;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субсидий на иные цели, в</w:t>
      </w:r>
      <w:r w:rsidR="00FF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 которых органами,</w:t>
      </w:r>
      <w:r w:rsidR="00FF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осуществляющими функции и полномочия учредителя, не принято решение о наличии потребности в направлении их на те же цели в текущем финансовом году и невозвращенные в доход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бюджета</w:t>
      </w:r>
      <w:r w:rsidR="00FF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Североморск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порядком, установленным </w:t>
      </w:r>
      <w:r w:rsidR="00FF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Управлением финансов администрации ЗАТО г. Североморск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остатки субсидий на иные цели).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Взыскание в бюджет</w:t>
      </w:r>
      <w:r w:rsidR="00FF3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ЗАТО г. Североморск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остатков субсидий на капитальные вложения и остатков субсидий на иные цели осуществляется в соответствии с 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утвержденными приказом Министерства финансов Российской Федерации от 28.07.2010 №82н (с изменениями), с учетом следующих положений:</w:t>
      </w:r>
    </w:p>
    <w:p w:rsidR="00DD3E3F" w:rsidRPr="00F71E65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а)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учреждение, предприятие в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срок до 1 </w:t>
      </w:r>
      <w:r w:rsidR="00C50D29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марта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текущего финансового года представляет в орган Федерального казначейства соответственно Сведения об операциях с целевыми субсидиями, предоставленными</w:t>
      </w:r>
      <w:r w:rsidR="00D07AB5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государственному (муниципальному) учреждению на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год (код формы</w:t>
      </w:r>
      <w:r w:rsidR="00D07AB5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ОКУД 0501016), Сведения об операциях с субсидиями на капитальные вложения, предоставленными федеральному государственному унитарному предприятию на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A8408C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 (код формы по ОКУД 0501017) (далее - Сведения).</w:t>
      </w:r>
    </w:p>
    <w:p w:rsidR="00DD3E3F" w:rsidRPr="00F71E65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Суммы остатков субсидий на иные цели и субсидий на капитальные вложения, в отношении которых наличие потребности в направлении их в текущем финансовом году на те же цели подтверждено органом, осуществляющим функции и полномочия учредителя (главным распорядителем средств бюджета, осуществляющим предоставление субсидий на капитальные вложения предприятиям) указываются в Сведениях соответственно в графах 5 и 6.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в случае если до 1 </w:t>
      </w:r>
      <w:r w:rsidR="00C50D29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финансового года, следующего за отчетным, учреждением, предприятием не предоставлены Сведения в орган Федерального казначейства, орган Федерального казначейства осуществляет взыскание остатков субсидий на капитальные вложения и остатков субсидий на иные цели в бюджет </w:t>
      </w:r>
      <w:r w:rsidR="00370CDF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г. Североморск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основании Уведомления о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взыскании неиспользованных остатков субсидий (далее - Уведомление).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 направляется в орган Федерального казначейства органом, осуществляющим функции и полномочия учредителя или соответствующим главным распорядителем средств бюджета, осуществляющим предоставление субсидий на капитальные вложения</w:t>
      </w:r>
      <w:r w:rsidR="00370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предприятиям, 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позднее 15 </w:t>
      </w:r>
      <w:r w:rsidR="00C50D29"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Pr="00F71E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текущего финансового года по форме, согласно приложению к настоящему Порядку.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графе 5 «Лицевой счет администратора доходов» Уведомления указывается лицевой счет администратора доходов бюджета, открытый органу, осуществляющему функции и полномочия учредителя или главному распорядителю средств бюджета,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осуществляющему предоставление субсидий на капитальные вложения предприятиям.</w:t>
      </w:r>
    </w:p>
    <w:p w:rsid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графе 6 «Код дохода бюджетной классификации» Уведомления указывается соответствующий код классификации доходов (где XXX - код главного администратора (администратора) доходов бюджета):</w:t>
      </w:r>
    </w:p>
    <w:p w:rsidR="00D476BD" w:rsidRDefault="00D476BD" w:rsidP="00D47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FB730C">
        <w:rPr>
          <w:rFonts w:ascii="Times New Roman" w:hAnsi="Times New Roman" w:cs="Times New Roman"/>
          <w:sz w:val="26"/>
          <w:szCs w:val="26"/>
        </w:rPr>
        <w:t>XXX 2 18 0</w:t>
      </w:r>
      <w:r w:rsidR="00750348">
        <w:rPr>
          <w:rFonts w:ascii="Times New Roman" w:hAnsi="Times New Roman" w:cs="Times New Roman"/>
          <w:sz w:val="26"/>
          <w:szCs w:val="26"/>
        </w:rPr>
        <w:t>4</w:t>
      </w:r>
      <w:r w:rsidRPr="00FB730C">
        <w:rPr>
          <w:rFonts w:ascii="Times New Roman" w:hAnsi="Times New Roman" w:cs="Times New Roman"/>
          <w:sz w:val="26"/>
          <w:szCs w:val="26"/>
        </w:rPr>
        <w:t>010 0</w:t>
      </w:r>
      <w:r w:rsidR="00750348">
        <w:rPr>
          <w:rFonts w:ascii="Times New Roman" w:hAnsi="Times New Roman" w:cs="Times New Roman"/>
          <w:sz w:val="26"/>
          <w:szCs w:val="26"/>
        </w:rPr>
        <w:t>4</w:t>
      </w:r>
      <w:r w:rsidRPr="00FB730C">
        <w:rPr>
          <w:rFonts w:ascii="Times New Roman" w:hAnsi="Times New Roman" w:cs="Times New Roman"/>
          <w:sz w:val="26"/>
          <w:szCs w:val="26"/>
        </w:rPr>
        <w:t xml:space="preserve"> 0000 180 «Доходы бюджетов городских округов от возврата бюджетными учреждениями остатков субсидий прошлых лет»;</w:t>
      </w:r>
    </w:p>
    <w:p w:rsidR="00D476BD" w:rsidRDefault="00D476BD" w:rsidP="00D47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B730C">
        <w:rPr>
          <w:rFonts w:ascii="Times New Roman" w:hAnsi="Times New Roman" w:cs="Times New Roman"/>
          <w:sz w:val="26"/>
          <w:szCs w:val="26"/>
        </w:rPr>
        <w:t xml:space="preserve"> XXX 2 18 0</w:t>
      </w:r>
      <w:r w:rsidR="00750348">
        <w:rPr>
          <w:rFonts w:ascii="Times New Roman" w:hAnsi="Times New Roman" w:cs="Times New Roman"/>
          <w:sz w:val="26"/>
          <w:szCs w:val="26"/>
        </w:rPr>
        <w:t>4</w:t>
      </w:r>
      <w:r w:rsidRPr="00FB730C">
        <w:rPr>
          <w:rFonts w:ascii="Times New Roman" w:hAnsi="Times New Roman" w:cs="Times New Roman"/>
          <w:sz w:val="26"/>
          <w:szCs w:val="26"/>
        </w:rPr>
        <w:t>020 0</w:t>
      </w:r>
      <w:r w:rsidR="00750348">
        <w:rPr>
          <w:rFonts w:ascii="Times New Roman" w:hAnsi="Times New Roman" w:cs="Times New Roman"/>
          <w:sz w:val="26"/>
          <w:szCs w:val="26"/>
        </w:rPr>
        <w:t>4</w:t>
      </w:r>
      <w:r w:rsidRPr="00FB730C">
        <w:rPr>
          <w:rFonts w:ascii="Times New Roman" w:hAnsi="Times New Roman" w:cs="Times New Roman"/>
          <w:sz w:val="26"/>
          <w:szCs w:val="26"/>
        </w:rPr>
        <w:t xml:space="preserve"> 0000 180 «Доходы бюджетов городских округов от возврата автономными учреждениями остатков субсидий прошлых лет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DD3E3F" w:rsidRPr="00C50D29" w:rsidRDefault="00D476BD" w:rsidP="00D47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XXX 2 18 0</w:t>
      </w:r>
      <w:r w:rsidR="007503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030 0</w:t>
      </w:r>
      <w:r w:rsidR="007503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</w:t>
      </w:r>
      <w:r w:rsidR="00590E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DD3E3F"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00 180 «</w:t>
      </w:r>
      <w:r>
        <w:rPr>
          <w:rFonts w:ascii="Times New Roman" w:hAnsi="Times New Roman" w:cs="Times New Roman"/>
          <w:sz w:val="26"/>
          <w:szCs w:val="26"/>
        </w:rPr>
        <w:t xml:space="preserve">Доходы бюджетов городских округов от возврата иными организациями </w:t>
      </w:r>
      <w:r w:rsidRPr="00C50D29">
        <w:rPr>
          <w:rFonts w:ascii="Times New Roman" w:hAnsi="Times New Roman" w:cs="Times New Roman"/>
          <w:sz w:val="26"/>
          <w:szCs w:val="26"/>
        </w:rPr>
        <w:t>остатков субсидий прошлых лет</w:t>
      </w:r>
      <w:r w:rsidR="00DD3E3F" w:rsidRPr="00C50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50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Уведомление предоставляется в орган Федерального казначейства на бумажном носителе в двух экземплярах. Дата составления и дата направления Уведомления в орган Федерального казначейства не может быть ранее 1 </w:t>
      </w:r>
      <w:r w:rsidR="00C50D29" w:rsidRPr="00C50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Pr="00C50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текущего финансового года.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 Федерального казначейства не несет ответственность за несвоевременное предоставление Уведомления.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 Федерального казначейства не позднее рабочего дня, следующего за днем представления Уведомления, осуществляет проверку Уведомления на: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установленной форме;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соответствие подписи в строке «Руководитель (уполномоченное лицо)» образцу первой подписи в Карточке образцов подписей, представленной к лицевому счету получателя бюджетных средств органа, осуществляющего функции и полномочия учредителя или главного распорядителя средств бюджета, осуществляющего предоставление субсидий на капитальные вложения предприятиям;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непревышение суммы, указанной в графе 2 и графе 4 Уведомления, над суммой остатка, учтенного на лицевом счете учреждения, предприятия без права расходования по состоянию на 1 января текущего финансового года.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 Федерального казначейства не осуществляет проверку правильности указания данных в графах 5, 6 Уведомления и сверку суммы, указанной в графе 3 Уведомления, с данными учетных систем органа Федерального казначейства;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в случае если форма и (или) информация, указанная в Уведомлении, не соответствует требованиям, установленным пунктом 3 настоящего Порядка, орган Федерального казначейства не позднее второго рабочего дня,</w:t>
      </w:r>
      <w:r w:rsid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следующего</w:t>
      </w:r>
      <w:r w:rsidR="007D5E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днем предоставления Уведомления, возвращает оба экземпляра Уведомления органу, осуществляющему функции и полномочия учредителя или главному распорядителю средств бюджета, осуществляющему предоставление субсидий на капитальные вложения предприятиям, с приложением сопроводительного письма и указанием причин возврата.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орган Федерального казначейства осуществляет перечисление остатков субсидий на капитальные вложения и остатков субсидий на иные цели в доход бюджета на счет, открытый Управлению Федерального казначейства по Мурманской области, на балансовом счете №40101 «Доходы, распределяемые органами Федерального казначейства между бюджетами бюджетной системы Российской 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Федерации», в пределах общего остатка средств, учтенного на лицевом счете учреждения, предприятия на основании платежных документов, оформленных в установленном порядке органом Федерального казначейства, в соответствии с реквизитами для зачисления, указанными в Уведомлении, не позднее второго рабочего дня, следующего за днем предоставления Уведомления.</w:t>
      </w:r>
    </w:p>
    <w:p w:rsid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 Федерального казначейства не позднее рабочего дня, следующего за днем получения банковской выписки, подтверждающей совершение операции по перечислению остатков, направляет Уведомлени</w:t>
      </w:r>
      <w:r w:rsidR="004553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органу, осуществляющему функции и полномочия учредителя, или главному распорядителю средств бюджета, осуществляющему предоставление субсидий на капитальные вложения предприятиям, второй экземпляр Уведомления с отметкой об исполнении.</w:t>
      </w: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6C0182">
      <w:pPr>
        <w:framePr w:w="10458" w:h="654" w:hRule="exact" w:wrap="none" w:vAnchor="page" w:hAnchor="page" w:x="550" w:y="8275"/>
        <w:widowControl w:val="0"/>
        <w:tabs>
          <w:tab w:val="left" w:leader="underscore" w:pos="7896"/>
        </w:tabs>
        <w:spacing w:after="0" w:line="211" w:lineRule="exact"/>
        <w:ind w:right="20" w:firstLine="2860"/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  <w:t xml:space="preserve">(наименование бюджетного (автономного) учреждения, унитарного предприятия) </w:t>
      </w:r>
    </w:p>
    <w:p w:rsidR="006C0182" w:rsidRPr="006C0182" w:rsidRDefault="006C0182" w:rsidP="006C0182">
      <w:pPr>
        <w:framePr w:w="10458" w:h="654" w:hRule="exact" w:wrap="none" w:vAnchor="page" w:hAnchor="page" w:x="550" w:y="8275"/>
        <w:widowControl w:val="0"/>
        <w:tabs>
          <w:tab w:val="left" w:leader="underscore" w:pos="7896"/>
        </w:tabs>
        <w:spacing w:after="0" w:line="211" w:lineRule="exact"/>
        <w:ind w:right="20"/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в сумме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10458" w:h="654" w:hRule="exact" w:wrap="none" w:vAnchor="page" w:hAnchor="page" w:x="550" w:y="8275"/>
        <w:widowControl w:val="0"/>
        <w:spacing w:after="0" w:line="110" w:lineRule="exact"/>
        <w:ind w:left="5200"/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  <w:t>(сумма прописью)</w:t>
      </w: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C0182" w:rsidRPr="006C0182" w:rsidRDefault="006C0182" w:rsidP="006C0182">
      <w:pPr>
        <w:framePr w:wrap="none" w:vAnchor="page" w:hAnchor="page" w:x="10083" w:y="1407"/>
        <w:widowControl w:val="0"/>
        <w:spacing w:after="0" w:line="170" w:lineRule="exact"/>
        <w:ind w:left="20"/>
        <w:rPr>
          <w:rFonts w:ascii="Arial" w:eastAsia="Arial" w:hAnsi="Arial" w:cs="Arial"/>
          <w:color w:val="000000"/>
          <w:spacing w:val="4"/>
          <w:sz w:val="17"/>
          <w:szCs w:val="17"/>
          <w:lang w:eastAsia="ru-RU"/>
        </w:rPr>
      </w:pPr>
      <w:r w:rsidRPr="006C0182">
        <w:rPr>
          <w:rFonts w:ascii="Arial" w:eastAsia="Arial" w:hAnsi="Arial" w:cs="Arial"/>
          <w:color w:val="000000"/>
          <w:spacing w:val="4"/>
          <w:sz w:val="17"/>
          <w:szCs w:val="17"/>
          <w:lang w:eastAsia="ru-RU"/>
        </w:rPr>
        <w:t>Приложение</w:t>
      </w:r>
    </w:p>
    <w:p w:rsidR="006C0182" w:rsidRPr="006C0182" w:rsidRDefault="006C0182" w:rsidP="006C0182">
      <w:pPr>
        <w:framePr w:w="4584" w:h="1677" w:hRule="exact" w:wrap="none" w:vAnchor="page" w:hAnchor="page" w:x="6915" w:y="1800"/>
        <w:widowControl w:val="0"/>
        <w:spacing w:after="0" w:line="192" w:lineRule="exact"/>
        <w:ind w:right="200"/>
        <w:jc w:val="right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к Порядку взыскания в бюдже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т ЗАТО г. Североморск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неиспользованных остатков субсидий, предоставленных 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из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бюджета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ЗАТО г. Североморск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муниципальным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бюджетным и автономным учреждениям, 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муниципальным</w:t>
      </w:r>
    </w:p>
    <w:p w:rsidR="006C0182" w:rsidRPr="006C0182" w:rsidRDefault="006C0182" w:rsidP="006C0182">
      <w:pPr>
        <w:framePr w:w="4584" w:h="1677" w:hRule="exact" w:wrap="none" w:vAnchor="page" w:hAnchor="page" w:x="6915" w:y="1800"/>
        <w:widowControl w:val="0"/>
        <w:spacing w:after="0" w:line="211" w:lineRule="exact"/>
        <w:ind w:right="200"/>
        <w:jc w:val="right"/>
        <w:rPr>
          <w:rFonts w:ascii="Arial" w:eastAsia="Arial" w:hAnsi="Arial" w:cs="Arial"/>
          <w:i/>
          <w:iCs/>
          <w:color w:val="000000"/>
          <w:spacing w:val="2"/>
          <w:sz w:val="20"/>
          <w:szCs w:val="20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унитарным предприятиям утвержденному приказом 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Управления финансов администрации ЗАТО г. Североморск от 30.12.2014 № 96</w:t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tabs>
          <w:tab w:val="left" w:leader="underscore" w:pos="7269"/>
        </w:tabs>
        <w:spacing w:after="0" w:line="250" w:lineRule="exact"/>
        <w:ind w:left="4720"/>
        <w:jc w:val="both"/>
        <w:rPr>
          <w:rFonts w:ascii="Arial" w:eastAsia="Arial" w:hAnsi="Arial" w:cs="Arial"/>
          <w:color w:val="000000"/>
          <w:spacing w:val="5"/>
          <w:sz w:val="15"/>
          <w:szCs w:val="15"/>
          <w:lang w:eastAsia="ru-RU"/>
        </w:rPr>
      </w:pPr>
      <w:r w:rsidRPr="006C0182">
        <w:rPr>
          <w:rFonts w:ascii="Arial" w:eastAsia="Arial" w:hAnsi="Arial" w:cs="Arial"/>
          <w:color w:val="000000"/>
          <w:spacing w:val="5"/>
          <w:sz w:val="15"/>
          <w:szCs w:val="15"/>
          <w:lang w:eastAsia="ru-RU"/>
        </w:rPr>
        <w:t xml:space="preserve">УВЕДОМЛЕНИЕ № </w:t>
      </w:r>
      <w:r w:rsidRPr="006C0182">
        <w:rPr>
          <w:rFonts w:ascii="Arial" w:eastAsia="Arial" w:hAnsi="Arial" w:cs="Arial"/>
          <w:color w:val="000000"/>
          <w:spacing w:val="5"/>
          <w:sz w:val="15"/>
          <w:szCs w:val="15"/>
          <w:lang w:eastAsia="ru-RU"/>
        </w:rPr>
        <w:tab/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spacing w:after="0" w:line="250" w:lineRule="exact"/>
        <w:ind w:right="180"/>
        <w:jc w:val="center"/>
        <w:rPr>
          <w:rFonts w:ascii="Arial" w:eastAsia="Arial" w:hAnsi="Arial" w:cs="Arial"/>
          <w:color w:val="000000"/>
          <w:spacing w:val="5"/>
          <w:sz w:val="15"/>
          <w:szCs w:val="15"/>
          <w:lang w:eastAsia="ru-RU"/>
        </w:rPr>
      </w:pPr>
      <w:r w:rsidRPr="006C0182">
        <w:rPr>
          <w:rFonts w:ascii="Arial" w:eastAsia="Arial" w:hAnsi="Arial" w:cs="Arial"/>
          <w:color w:val="000000"/>
          <w:spacing w:val="5"/>
          <w:sz w:val="15"/>
          <w:szCs w:val="15"/>
          <w:lang w:eastAsia="ru-RU"/>
        </w:rPr>
        <w:t>О ВЗЫСКАНИИ НЕИСПОЛЬЗОВАННЫХ ОСТАТКОВ СУБСИДИЙ</w:t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tabs>
          <w:tab w:val="left" w:leader="underscore" w:pos="6471"/>
          <w:tab w:val="left" w:leader="underscore" w:pos="6913"/>
        </w:tabs>
        <w:spacing w:after="0" w:line="250" w:lineRule="exact"/>
        <w:ind w:left="4460"/>
        <w:jc w:val="both"/>
        <w:rPr>
          <w:rFonts w:ascii="Arial" w:eastAsia="Arial" w:hAnsi="Arial" w:cs="Arial"/>
          <w:color w:val="000000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 xml:space="preserve">ОТ 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20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г.</w:t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spacing w:after="0" w:line="178" w:lineRule="exact"/>
        <w:ind w:left="100" w:right="8180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Орган, осуществляющий функции и полномочия учредителя (главный распорядитель средств бюджета, осуществляющий предоставление субсидий на капитальные</w:t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tabs>
          <w:tab w:val="left" w:pos="3028"/>
          <w:tab w:val="left" w:leader="underscore" w:pos="8154"/>
        </w:tabs>
        <w:spacing w:after="304" w:line="178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вложения предприятиям)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spacing w:after="0" w:line="173" w:lineRule="exact"/>
        <w:ind w:left="100" w:right="8180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Орган Федерального казначейства, осуществляющий ведение лицевого счета по субсидиям на иные цели</w:t>
      </w:r>
    </w:p>
    <w:p w:rsidR="006C0182" w:rsidRPr="006C0182" w:rsidRDefault="006C0182" w:rsidP="006C0182">
      <w:pPr>
        <w:framePr w:w="11002" w:h="2945" w:hRule="exact" w:wrap="none" w:vAnchor="page" w:hAnchor="page" w:x="411" w:y="3742"/>
        <w:widowControl w:val="0"/>
        <w:tabs>
          <w:tab w:val="left" w:leader="underscore" w:pos="8154"/>
        </w:tabs>
        <w:spacing w:after="0" w:line="173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(субсидиям на капитальные вложения)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rap="none" w:vAnchor="page" w:hAnchor="page" w:x="411" w:y="7028"/>
        <w:widowControl w:val="0"/>
        <w:spacing w:after="0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Наименование бюджета</w:t>
      </w:r>
    </w:p>
    <w:p w:rsidR="006C0182" w:rsidRPr="006C0182" w:rsidRDefault="006C0182" w:rsidP="006C0182">
      <w:pPr>
        <w:framePr w:w="11002" w:h="640" w:hRule="exact" w:wrap="none" w:vAnchor="page" w:hAnchor="page" w:x="411" w:y="7479"/>
        <w:widowControl w:val="0"/>
        <w:tabs>
          <w:tab w:val="left" w:pos="4650"/>
          <w:tab w:val="left" w:leader="underscore" w:pos="9676"/>
        </w:tabs>
        <w:spacing w:after="97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Настоящим уведомляем, что в соответствии с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11002" w:h="640" w:hRule="exact" w:wrap="none" w:vAnchor="page" w:hAnchor="page" w:x="411" w:y="7479"/>
        <w:widowControl w:val="0"/>
        <w:spacing w:after="0" w:line="110" w:lineRule="exact"/>
        <w:ind w:left="5940"/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i/>
          <w:iCs/>
          <w:color w:val="000000"/>
          <w:sz w:val="11"/>
          <w:szCs w:val="11"/>
          <w:lang w:eastAsia="ru-RU"/>
        </w:rPr>
        <w:t>(наименование, дата и номер акта (документа ) о взыскании)</w:t>
      </w:r>
    </w:p>
    <w:p w:rsidR="006C0182" w:rsidRDefault="006C0182" w:rsidP="006C0182">
      <w:pPr>
        <w:framePr w:w="11002" w:h="640" w:hRule="exact" w:wrap="none" w:vAnchor="page" w:hAnchor="page" w:x="411" w:y="7479"/>
        <w:widowControl w:val="0"/>
        <w:spacing w:after="0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в доход бюджета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ЗАТО г. Североморск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 взыскивается неиспользованный остаток субсидий, предоставленных</w:t>
      </w: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_____________________________________   </w:t>
      </w:r>
    </w:p>
    <w:p w:rsidR="006C0182" w:rsidRDefault="006C0182" w:rsidP="006C0182">
      <w:pPr>
        <w:framePr w:w="11002" w:h="640" w:hRule="exact" w:wrap="none" w:vAnchor="page" w:hAnchor="page" w:x="411" w:y="7479"/>
        <w:widowControl w:val="0"/>
        <w:spacing w:after="0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__________________________________________________________________________________________________________________________________</w:t>
      </w:r>
    </w:p>
    <w:p w:rsidR="006C0182" w:rsidRDefault="006C0182" w:rsidP="006C0182">
      <w:pPr>
        <w:framePr w:w="11002" w:h="640" w:hRule="exact" w:wrap="none" w:vAnchor="page" w:hAnchor="page" w:x="411" w:y="7479"/>
        <w:widowControl w:val="0"/>
        <w:spacing w:after="0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</w:p>
    <w:p w:rsidR="006C0182" w:rsidRPr="006C0182" w:rsidRDefault="006C0182" w:rsidP="006C0182">
      <w:pPr>
        <w:framePr w:w="11002" w:h="640" w:hRule="exact" w:wrap="none" w:vAnchor="page" w:hAnchor="page" w:x="411" w:y="7479"/>
        <w:widowControl w:val="0"/>
        <w:spacing w:after="0" w:line="130" w:lineRule="exact"/>
        <w:ind w:left="10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1642"/>
        <w:gridCol w:w="1728"/>
        <w:gridCol w:w="1397"/>
        <w:gridCol w:w="1426"/>
        <w:gridCol w:w="1656"/>
      </w:tblGrid>
      <w:tr w:rsidR="006C0182" w:rsidRPr="006C0182" w:rsidTr="00AD5C44">
        <w:trPr>
          <w:trHeight w:hRule="exact" w:val="312"/>
        </w:trPr>
        <w:tc>
          <w:tcPr>
            <w:tcW w:w="301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pacing w:val="1"/>
                <w:sz w:val="13"/>
                <w:szCs w:val="13"/>
                <w:lang w:eastAsia="ru-RU"/>
              </w:rPr>
              <w:t>Код субсидии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pacing w:val="1"/>
                <w:sz w:val="13"/>
                <w:szCs w:val="13"/>
                <w:lang w:eastAsia="ru-RU"/>
              </w:rPr>
              <w:t>Неиспользованный остаток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6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Подлежит взысканию в доход бюджета *</w:t>
            </w: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vertAlign w:val="superscript"/>
                <w:lang w:eastAsia="ru-RU"/>
              </w:rPr>
              <w:t>1</w:t>
            </w: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vertAlign w:val="superscript"/>
                <w:lang w:val="en-US" w:eastAsia="ru-RU"/>
              </w:rPr>
              <w:t>J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pacing w:val="1"/>
                <w:sz w:val="13"/>
                <w:szCs w:val="13"/>
                <w:lang w:eastAsia="ru-RU"/>
              </w:rPr>
              <w:t>Реквизиты для зачисления</w:t>
            </w:r>
          </w:p>
        </w:tc>
      </w:tr>
      <w:tr w:rsidR="006C0182" w:rsidRPr="006C0182" w:rsidTr="00AD5C44">
        <w:trPr>
          <w:trHeight w:hRule="exact" w:val="1176"/>
        </w:trPr>
        <w:tc>
          <w:tcPr>
            <w:tcW w:w="3010" w:type="dxa"/>
            <w:vMerge/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tabs>
                <w:tab w:val="left" w:leader="underscore" w:pos="1056"/>
              </w:tabs>
              <w:spacing w:after="0" w:line="13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 xml:space="preserve">на </w:t>
            </w:r>
            <w:r w:rsidRPr="006C0182">
              <w:rPr>
                <w:rFonts w:ascii="Arial" w:eastAsia="Arial" w:hAnsi="Arial" w:cs="Arial"/>
                <w:color w:val="000000"/>
                <w:spacing w:val="1"/>
                <w:sz w:val="13"/>
                <w:szCs w:val="13"/>
                <w:lang w:eastAsia="ru-RU"/>
              </w:rPr>
              <w:t xml:space="preserve">1 </w:t>
            </w: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января</w:t>
            </w: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ab/>
              <w:t>года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возращенный в доход бюджета учреждением, предприятием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58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лицевой счет администратора доходов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58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Код дохода бюджетной классификации</w:t>
            </w:r>
          </w:p>
        </w:tc>
      </w:tr>
      <w:tr w:rsidR="006C0182" w:rsidRPr="006C0182" w:rsidTr="00AD5C44">
        <w:trPr>
          <w:trHeight w:hRule="exact" w:val="206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6</w:t>
            </w:r>
          </w:p>
        </w:tc>
      </w:tr>
      <w:tr w:rsidR="006C0182" w:rsidRPr="006C0182" w:rsidTr="00AD5C44">
        <w:trPr>
          <w:trHeight w:hRule="exact" w:val="202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C0182" w:rsidRPr="006C0182" w:rsidTr="00AD5C44">
        <w:trPr>
          <w:trHeight w:hRule="exact" w:val="206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C0182" w:rsidRPr="006C0182" w:rsidTr="00AD5C44">
        <w:trPr>
          <w:trHeight w:hRule="exact" w:val="206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C0182" w:rsidRPr="006C0182" w:rsidTr="00AD5C44">
        <w:trPr>
          <w:trHeight w:hRule="exact" w:val="206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C0182" w:rsidRPr="006C0182" w:rsidTr="00AD5C44">
        <w:trPr>
          <w:trHeight w:hRule="exact" w:val="206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6C0182" w:rsidRPr="006C0182" w:rsidTr="00AD5C44">
        <w:trPr>
          <w:trHeight w:hRule="exact" w:val="202"/>
        </w:trPr>
        <w:tc>
          <w:tcPr>
            <w:tcW w:w="3010" w:type="dxa"/>
            <w:tcBorders>
              <w:top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110" w:lineRule="exact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pacing w:val="7"/>
                <w:sz w:val="25"/>
                <w:szCs w:val="25"/>
                <w:lang w:eastAsia="ru-RU"/>
              </w:rPr>
            </w:pPr>
            <w:r w:rsidRPr="006C0182">
              <w:rPr>
                <w:rFonts w:ascii="Arial" w:eastAsia="Arial" w:hAnsi="Arial" w:cs="Arial"/>
                <w:color w:val="000000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182" w:rsidRPr="006C0182" w:rsidRDefault="006C0182" w:rsidP="006C0182">
            <w:pPr>
              <w:framePr w:w="10858" w:h="2923" w:wrap="none" w:vAnchor="page" w:hAnchor="page" w:x="416" w:y="9322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6C0182" w:rsidRPr="006C0182" w:rsidRDefault="006C0182" w:rsidP="006C0182">
      <w:pPr>
        <w:framePr w:w="10728" w:h="394" w:hRule="exact" w:wrap="none" w:vAnchor="page" w:hAnchor="page" w:x="488" w:y="12231"/>
        <w:widowControl w:val="0"/>
        <w:spacing w:after="0" w:line="168" w:lineRule="exact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>Примечание:</w:t>
      </w:r>
      <w:r w:rsidRPr="006C0182">
        <w:rPr>
          <w:rFonts w:ascii="Arial" w:eastAsia="Arial" w:hAnsi="Arial" w:cs="Arial"/>
          <w:color w:val="000000"/>
          <w:sz w:val="11"/>
          <w:szCs w:val="11"/>
          <w:vertAlign w:val="superscript"/>
          <w:lang w:eastAsia="ru-RU"/>
        </w:rPr>
        <w:t>,</w:t>
      </w: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>'</w:t>
      </w:r>
      <w:r w:rsidRPr="006C0182">
        <w:rPr>
          <w:rFonts w:ascii="Arial" w:eastAsia="Arial" w:hAnsi="Arial" w:cs="Arial"/>
          <w:color w:val="000000"/>
          <w:sz w:val="11"/>
          <w:szCs w:val="11"/>
          <w:vertAlign w:val="superscript"/>
          <w:lang w:eastAsia="ru-RU"/>
        </w:rPr>
        <w:t>1</w:t>
      </w: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 xml:space="preserve"> - указывается сумма, подлежащая взысканию по данному Уведомлению: указание суммы нарастающим итогом в случае предоставления нескольких Уведомлений в части одного БУ (АУ). ГУП не допускается</w:t>
      </w:r>
    </w:p>
    <w:p w:rsidR="006C0182" w:rsidRPr="006C0182" w:rsidRDefault="006C0182" w:rsidP="006C0182">
      <w:pPr>
        <w:framePr w:w="3317" w:h="1094" w:hRule="exact" w:wrap="none" w:vAnchor="page" w:hAnchor="page" w:x="464" w:y="13023"/>
        <w:widowControl w:val="0"/>
        <w:tabs>
          <w:tab w:val="left" w:leader="underscore" w:pos="3282"/>
        </w:tabs>
        <w:spacing w:after="55" w:line="130" w:lineRule="exact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 xml:space="preserve">Руководитель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3317" w:h="1094" w:hRule="exact" w:wrap="none" w:vAnchor="page" w:hAnchor="page" w:x="464" w:y="13023"/>
        <w:widowControl w:val="0"/>
        <w:tabs>
          <w:tab w:val="right" w:pos="3206"/>
        </w:tabs>
        <w:spacing w:after="188" w:line="100" w:lineRule="exact"/>
        <w:jc w:val="both"/>
        <w:rPr>
          <w:rFonts w:ascii="Arial" w:eastAsia="Arial" w:hAnsi="Arial" w:cs="Arial"/>
          <w:color w:val="000000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>(уполномоченное лицо)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</w:r>
      <w:r w:rsidRPr="006C0182">
        <w:rPr>
          <w:rFonts w:ascii="Arial" w:eastAsia="Arial" w:hAnsi="Arial" w:cs="Arial"/>
          <w:i/>
          <w:iCs/>
          <w:color w:val="000000"/>
          <w:spacing w:val="-2"/>
          <w:sz w:val="10"/>
          <w:szCs w:val="10"/>
          <w:lang w:eastAsia="ru-RU"/>
        </w:rPr>
        <w:t>(подпись)</w:t>
      </w:r>
    </w:p>
    <w:p w:rsidR="006C0182" w:rsidRPr="006C0182" w:rsidRDefault="006C0182" w:rsidP="006C0182">
      <w:pPr>
        <w:framePr w:w="3317" w:h="1094" w:hRule="exact" w:wrap="none" w:vAnchor="page" w:hAnchor="page" w:x="464" w:y="13023"/>
        <w:widowControl w:val="0"/>
        <w:tabs>
          <w:tab w:val="left" w:leader="underscore" w:pos="3282"/>
        </w:tabs>
        <w:spacing w:after="0" w:line="173" w:lineRule="exact"/>
        <w:ind w:right="60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Руководитель финансово-экономи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softHyphen/>
        <w:t xml:space="preserve">ческой службы 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3317" w:h="685" w:hRule="exact" w:wrap="none" w:vAnchor="page" w:hAnchor="page" w:x="464" w:y="14127"/>
        <w:widowControl w:val="0"/>
        <w:spacing w:after="4" w:line="100" w:lineRule="exact"/>
        <w:ind w:right="60"/>
        <w:jc w:val="right"/>
        <w:rPr>
          <w:rFonts w:ascii="Arial" w:eastAsia="Arial" w:hAnsi="Arial" w:cs="Arial"/>
          <w:i/>
          <w:iCs/>
          <w:color w:val="000000"/>
          <w:spacing w:val="-2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i/>
          <w:iCs/>
          <w:color w:val="000000"/>
          <w:spacing w:val="-2"/>
          <w:sz w:val="10"/>
          <w:szCs w:val="10"/>
          <w:lang w:eastAsia="ru-RU"/>
        </w:rPr>
        <w:t>(подпись)</w:t>
      </w:r>
    </w:p>
    <w:p w:rsidR="006C0182" w:rsidRPr="006C0182" w:rsidRDefault="006C0182" w:rsidP="006C0182">
      <w:pPr>
        <w:framePr w:w="3317" w:h="685" w:hRule="exact" w:wrap="none" w:vAnchor="page" w:hAnchor="page" w:x="464" w:y="14127"/>
        <w:widowControl w:val="0"/>
        <w:spacing w:after="0" w:line="158" w:lineRule="exact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>Ответственный</w:t>
      </w:r>
    </w:p>
    <w:p w:rsidR="006C0182" w:rsidRPr="006C0182" w:rsidRDefault="006C0182" w:rsidP="006C0182">
      <w:pPr>
        <w:framePr w:w="3317" w:h="685" w:hRule="exact" w:wrap="none" w:vAnchor="page" w:hAnchor="page" w:x="464" w:y="14127"/>
        <w:widowControl w:val="0"/>
        <w:tabs>
          <w:tab w:val="left" w:leader="underscore" w:pos="3282"/>
        </w:tabs>
        <w:spacing w:after="0" w:line="158" w:lineRule="exact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 xml:space="preserve">исполнитель </w:t>
      </w: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ab/>
      </w:r>
    </w:p>
    <w:p w:rsidR="006C0182" w:rsidRPr="006C0182" w:rsidRDefault="006C0182" w:rsidP="006C0182">
      <w:pPr>
        <w:framePr w:w="3317" w:h="685" w:hRule="exact" w:wrap="none" w:vAnchor="page" w:hAnchor="page" w:x="464" w:y="14127"/>
        <w:widowControl w:val="0"/>
        <w:spacing w:after="0" w:line="158" w:lineRule="exact"/>
        <w:ind w:left="1620"/>
        <w:rPr>
          <w:rFonts w:ascii="Arial" w:eastAsia="Arial" w:hAnsi="Arial" w:cs="Arial"/>
          <w:i/>
          <w:iCs/>
          <w:color w:val="000000"/>
          <w:spacing w:val="4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i/>
          <w:iCs/>
          <w:color w:val="000000"/>
          <w:spacing w:val="4"/>
          <w:sz w:val="10"/>
          <w:szCs w:val="10"/>
          <w:lang w:eastAsia="ru-RU"/>
        </w:rPr>
        <w:t>(должность, тел.)</w:t>
      </w:r>
    </w:p>
    <w:p w:rsidR="006C0182" w:rsidRPr="006C0182" w:rsidRDefault="006C0182" w:rsidP="006C0182">
      <w:pPr>
        <w:framePr w:w="4123" w:h="794" w:hRule="exact" w:wrap="none" w:vAnchor="page" w:hAnchor="page" w:x="6824" w:y="12973"/>
        <w:widowControl w:val="0"/>
        <w:spacing w:after="234" w:line="178" w:lineRule="exact"/>
        <w:jc w:val="center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ОТМЕТКА ОРГАНА ФЕДЕРАЛЬНОГО КАЗНАЧЕЙСТВА ОБ ИСПОЛНЕНИИ НАСТОЯЩЕГО ДОКУМЕНТА</w:t>
      </w:r>
    </w:p>
    <w:p w:rsidR="006C0182" w:rsidRPr="006C0182" w:rsidRDefault="006C0182" w:rsidP="006C0182">
      <w:pPr>
        <w:framePr w:w="4123" w:h="794" w:hRule="exact" w:wrap="none" w:vAnchor="page" w:hAnchor="page" w:x="6824" w:y="12973"/>
        <w:widowControl w:val="0"/>
        <w:spacing w:after="0" w:line="110" w:lineRule="exact"/>
        <w:ind w:left="20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>Руководитель (уполномоченное лицо)</w:t>
      </w:r>
    </w:p>
    <w:p w:rsidR="006C0182" w:rsidRPr="006C0182" w:rsidRDefault="006C0182" w:rsidP="006C0182">
      <w:pPr>
        <w:framePr w:w="4123" w:h="815" w:hRule="exact" w:wrap="none" w:vAnchor="page" w:hAnchor="page" w:x="6824" w:y="13709"/>
        <w:widowControl w:val="0"/>
        <w:tabs>
          <w:tab w:val="left" w:pos="1350"/>
          <w:tab w:val="right" w:pos="3345"/>
          <w:tab w:val="right" w:pos="3842"/>
        </w:tabs>
        <w:spacing w:after="0" w:line="379" w:lineRule="exact"/>
        <w:ind w:left="20"/>
        <w:jc w:val="both"/>
        <w:rPr>
          <w:rFonts w:ascii="Arial" w:eastAsia="Arial" w:hAnsi="Arial" w:cs="Arial"/>
          <w:color w:val="000000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>(должность)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(подпись)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(расшифровка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подписи)</w:t>
      </w:r>
    </w:p>
    <w:p w:rsidR="006C0182" w:rsidRPr="006C0182" w:rsidRDefault="006C0182" w:rsidP="006C0182">
      <w:pPr>
        <w:framePr w:w="4123" w:h="815" w:hRule="exact" w:wrap="none" w:vAnchor="page" w:hAnchor="page" w:x="6824" w:y="13709"/>
        <w:widowControl w:val="0"/>
        <w:spacing w:after="0" w:line="379" w:lineRule="exact"/>
        <w:ind w:left="20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>Ответственный исполнитель</w:t>
      </w:r>
    </w:p>
    <w:p w:rsidR="006C0182" w:rsidRPr="006C0182" w:rsidRDefault="006C0182" w:rsidP="006C0182">
      <w:pPr>
        <w:framePr w:w="4123" w:h="592" w:hRule="exact" w:wrap="none" w:vAnchor="page" w:hAnchor="page" w:x="6824" w:y="14562"/>
        <w:widowControl w:val="0"/>
        <w:tabs>
          <w:tab w:val="right" w:pos="3345"/>
          <w:tab w:val="right" w:pos="3842"/>
        </w:tabs>
        <w:spacing w:after="0" w:line="182" w:lineRule="exact"/>
        <w:ind w:left="1380"/>
        <w:jc w:val="both"/>
        <w:rPr>
          <w:rFonts w:ascii="Arial" w:eastAsia="Arial" w:hAnsi="Arial" w:cs="Arial"/>
          <w:color w:val="000000"/>
          <w:sz w:val="10"/>
          <w:szCs w:val="10"/>
          <w:lang w:eastAsia="ru-RU"/>
        </w:rPr>
      </w:pP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>(подпись)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(расшифровка</w:t>
      </w:r>
      <w:r w:rsidRPr="006C0182">
        <w:rPr>
          <w:rFonts w:ascii="Arial" w:eastAsia="Arial" w:hAnsi="Arial" w:cs="Arial"/>
          <w:color w:val="000000"/>
          <w:sz w:val="10"/>
          <w:szCs w:val="10"/>
          <w:lang w:eastAsia="ru-RU"/>
        </w:rPr>
        <w:tab/>
        <w:t>подписи)</w:t>
      </w:r>
    </w:p>
    <w:p w:rsidR="006C0182" w:rsidRPr="006C0182" w:rsidRDefault="006C0182" w:rsidP="006C0182">
      <w:pPr>
        <w:framePr w:w="4123" w:h="592" w:hRule="exact" w:wrap="none" w:vAnchor="page" w:hAnchor="page" w:x="6824" w:y="14562"/>
        <w:widowControl w:val="0"/>
        <w:tabs>
          <w:tab w:val="left" w:leader="underscore" w:pos="1778"/>
          <w:tab w:val="left" w:pos="2318"/>
          <w:tab w:val="left" w:leader="underscore" w:pos="3055"/>
        </w:tabs>
        <w:spacing w:after="0" w:line="182" w:lineRule="exact"/>
        <w:ind w:left="1380"/>
        <w:jc w:val="both"/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</w:pP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>20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  <w:t>г."</w:t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  <w:r w:rsidRPr="006C0182">
        <w:rPr>
          <w:rFonts w:ascii="Arial" w:eastAsia="Arial" w:hAnsi="Arial" w:cs="Arial"/>
          <w:color w:val="000000"/>
          <w:spacing w:val="1"/>
          <w:sz w:val="13"/>
          <w:szCs w:val="13"/>
          <w:lang w:eastAsia="ru-RU"/>
        </w:rPr>
        <w:tab/>
      </w:r>
    </w:p>
    <w:p w:rsidR="006C0182" w:rsidRPr="006C0182" w:rsidRDefault="006C0182" w:rsidP="006C0182">
      <w:pPr>
        <w:framePr w:w="4123" w:h="592" w:hRule="exact" w:wrap="none" w:vAnchor="page" w:hAnchor="page" w:x="6824" w:y="14562"/>
        <w:widowControl w:val="0"/>
        <w:tabs>
          <w:tab w:val="left" w:leader="underscore" w:pos="2318"/>
          <w:tab w:val="left" w:leader="underscore" w:pos="3918"/>
        </w:tabs>
        <w:spacing w:after="0" w:line="182" w:lineRule="exact"/>
        <w:ind w:left="1120"/>
        <w:jc w:val="both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ab/>
        <w:t>(</w:t>
      </w:r>
      <w:r w:rsidRPr="006C0182">
        <w:rPr>
          <w:rFonts w:ascii="Arial" w:eastAsia="Arial" w:hAnsi="Arial" w:cs="Arial"/>
          <w:color w:val="000000"/>
          <w:sz w:val="11"/>
          <w:szCs w:val="11"/>
          <w:u w:val="single"/>
          <w:lang w:eastAsia="ru-RU"/>
        </w:rPr>
        <w:t>телефон)</w:t>
      </w:r>
      <w:r w:rsidRPr="006C0182">
        <w:rPr>
          <w:rFonts w:ascii="Arial" w:eastAsia="Arial" w:hAnsi="Arial" w:cs="Arial"/>
          <w:color w:val="000000"/>
          <w:sz w:val="11"/>
          <w:szCs w:val="11"/>
          <w:lang w:eastAsia="ru-RU"/>
        </w:rPr>
        <w:tab/>
      </w:r>
    </w:p>
    <w:p w:rsidR="006C0182" w:rsidRDefault="006C0182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6240" w:rsidRPr="00DD3E3F" w:rsidRDefault="00006240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3E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DD3E3F" w:rsidRPr="00DD3E3F" w:rsidRDefault="00DD3E3F" w:rsidP="00987C5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D3E3F" w:rsidRPr="00DD3E3F" w:rsidSect="00987C5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51"/>
    <w:rsid w:val="00006240"/>
    <w:rsid w:val="0001700A"/>
    <w:rsid w:val="00023206"/>
    <w:rsid w:val="000238BC"/>
    <w:rsid w:val="000240BF"/>
    <w:rsid w:val="00042967"/>
    <w:rsid w:val="00055865"/>
    <w:rsid w:val="000558FA"/>
    <w:rsid w:val="00061CF8"/>
    <w:rsid w:val="000717F6"/>
    <w:rsid w:val="00087B18"/>
    <w:rsid w:val="00092185"/>
    <w:rsid w:val="000B7F55"/>
    <w:rsid w:val="000C0F2B"/>
    <w:rsid w:val="000C6F6F"/>
    <w:rsid w:val="000D5529"/>
    <w:rsid w:val="000D7B11"/>
    <w:rsid w:val="000E1399"/>
    <w:rsid w:val="000E4E15"/>
    <w:rsid w:val="000F5B0D"/>
    <w:rsid w:val="001018DB"/>
    <w:rsid w:val="001057C3"/>
    <w:rsid w:val="00105CC4"/>
    <w:rsid w:val="00107A9D"/>
    <w:rsid w:val="00120E18"/>
    <w:rsid w:val="00126151"/>
    <w:rsid w:val="001334BB"/>
    <w:rsid w:val="00134F1F"/>
    <w:rsid w:val="001365C0"/>
    <w:rsid w:val="001425FB"/>
    <w:rsid w:val="001430D0"/>
    <w:rsid w:val="00143988"/>
    <w:rsid w:val="00150BE7"/>
    <w:rsid w:val="001560FC"/>
    <w:rsid w:val="001631F0"/>
    <w:rsid w:val="00172F2D"/>
    <w:rsid w:val="00175E56"/>
    <w:rsid w:val="0018473D"/>
    <w:rsid w:val="00185830"/>
    <w:rsid w:val="001A050C"/>
    <w:rsid w:val="001A06C9"/>
    <w:rsid w:val="001B7BAE"/>
    <w:rsid w:val="001C101D"/>
    <w:rsid w:val="001C418E"/>
    <w:rsid w:val="001D2302"/>
    <w:rsid w:val="001E0EEA"/>
    <w:rsid w:val="001E3482"/>
    <w:rsid w:val="001E658B"/>
    <w:rsid w:val="00202FBF"/>
    <w:rsid w:val="002037B1"/>
    <w:rsid w:val="00204CFA"/>
    <w:rsid w:val="00212071"/>
    <w:rsid w:val="0021376B"/>
    <w:rsid w:val="002164C4"/>
    <w:rsid w:val="00222302"/>
    <w:rsid w:val="00222BA4"/>
    <w:rsid w:val="00263B92"/>
    <w:rsid w:val="002650BA"/>
    <w:rsid w:val="002924ED"/>
    <w:rsid w:val="002A5BE6"/>
    <w:rsid w:val="002B1F91"/>
    <w:rsid w:val="002B35E7"/>
    <w:rsid w:val="002B4233"/>
    <w:rsid w:val="002B4B82"/>
    <w:rsid w:val="002C1084"/>
    <w:rsid w:val="002C4A7B"/>
    <w:rsid w:val="002D49F5"/>
    <w:rsid w:val="002D4B5A"/>
    <w:rsid w:val="002D7E2B"/>
    <w:rsid w:val="002E0E47"/>
    <w:rsid w:val="002E123A"/>
    <w:rsid w:val="002E24E6"/>
    <w:rsid w:val="002E621B"/>
    <w:rsid w:val="00306EC7"/>
    <w:rsid w:val="00325339"/>
    <w:rsid w:val="0033254D"/>
    <w:rsid w:val="003352F8"/>
    <w:rsid w:val="00356E4F"/>
    <w:rsid w:val="00361B8F"/>
    <w:rsid w:val="00363D6D"/>
    <w:rsid w:val="00370CDF"/>
    <w:rsid w:val="003927B2"/>
    <w:rsid w:val="00392D11"/>
    <w:rsid w:val="003A7371"/>
    <w:rsid w:val="003B6B58"/>
    <w:rsid w:val="003C1632"/>
    <w:rsid w:val="003C28F5"/>
    <w:rsid w:val="003F7AA7"/>
    <w:rsid w:val="0040235A"/>
    <w:rsid w:val="00421692"/>
    <w:rsid w:val="00432C69"/>
    <w:rsid w:val="00444A4B"/>
    <w:rsid w:val="00447B98"/>
    <w:rsid w:val="00452265"/>
    <w:rsid w:val="00455394"/>
    <w:rsid w:val="00460AB0"/>
    <w:rsid w:val="00467634"/>
    <w:rsid w:val="0047718E"/>
    <w:rsid w:val="00485EDF"/>
    <w:rsid w:val="0048603D"/>
    <w:rsid w:val="00486828"/>
    <w:rsid w:val="00492260"/>
    <w:rsid w:val="004A14F6"/>
    <w:rsid w:val="004B7B15"/>
    <w:rsid w:val="004C11BF"/>
    <w:rsid w:val="004D03D1"/>
    <w:rsid w:val="004D43F0"/>
    <w:rsid w:val="004E0E64"/>
    <w:rsid w:val="004E3997"/>
    <w:rsid w:val="004E4399"/>
    <w:rsid w:val="004E45C5"/>
    <w:rsid w:val="004E6279"/>
    <w:rsid w:val="004F6BF3"/>
    <w:rsid w:val="00516CCD"/>
    <w:rsid w:val="00521BB0"/>
    <w:rsid w:val="0052704D"/>
    <w:rsid w:val="00527B07"/>
    <w:rsid w:val="00537585"/>
    <w:rsid w:val="00544EC4"/>
    <w:rsid w:val="00554F94"/>
    <w:rsid w:val="00563FD9"/>
    <w:rsid w:val="00564ADE"/>
    <w:rsid w:val="00567210"/>
    <w:rsid w:val="0057602A"/>
    <w:rsid w:val="00576310"/>
    <w:rsid w:val="00590ECC"/>
    <w:rsid w:val="00597921"/>
    <w:rsid w:val="005A24C4"/>
    <w:rsid w:val="005A42C0"/>
    <w:rsid w:val="005A6D78"/>
    <w:rsid w:val="005B5E4F"/>
    <w:rsid w:val="005D4693"/>
    <w:rsid w:val="005E2222"/>
    <w:rsid w:val="005E7255"/>
    <w:rsid w:val="006010F7"/>
    <w:rsid w:val="00613AD4"/>
    <w:rsid w:val="006162CC"/>
    <w:rsid w:val="00627C9E"/>
    <w:rsid w:val="00643A32"/>
    <w:rsid w:val="006656E2"/>
    <w:rsid w:val="00667D5F"/>
    <w:rsid w:val="0068265A"/>
    <w:rsid w:val="006862F9"/>
    <w:rsid w:val="00687C45"/>
    <w:rsid w:val="0069059D"/>
    <w:rsid w:val="006961EF"/>
    <w:rsid w:val="006A5585"/>
    <w:rsid w:val="006C0182"/>
    <w:rsid w:val="006C33AC"/>
    <w:rsid w:val="006C508C"/>
    <w:rsid w:val="006C769C"/>
    <w:rsid w:val="006D1D61"/>
    <w:rsid w:val="006E06F3"/>
    <w:rsid w:val="006E08BE"/>
    <w:rsid w:val="006F31EA"/>
    <w:rsid w:val="00710D81"/>
    <w:rsid w:val="00712732"/>
    <w:rsid w:val="007143CE"/>
    <w:rsid w:val="00714627"/>
    <w:rsid w:val="00723EE8"/>
    <w:rsid w:val="0073052A"/>
    <w:rsid w:val="00750348"/>
    <w:rsid w:val="007505AC"/>
    <w:rsid w:val="0076563C"/>
    <w:rsid w:val="00770FD1"/>
    <w:rsid w:val="007714F2"/>
    <w:rsid w:val="0078245D"/>
    <w:rsid w:val="00783F94"/>
    <w:rsid w:val="007A15BC"/>
    <w:rsid w:val="007A29CE"/>
    <w:rsid w:val="007A3EE5"/>
    <w:rsid w:val="007A6C95"/>
    <w:rsid w:val="007B7C59"/>
    <w:rsid w:val="007C23E1"/>
    <w:rsid w:val="007C5DA0"/>
    <w:rsid w:val="007C6077"/>
    <w:rsid w:val="007D0692"/>
    <w:rsid w:val="007D2B55"/>
    <w:rsid w:val="007D5E4E"/>
    <w:rsid w:val="007F5012"/>
    <w:rsid w:val="007F551A"/>
    <w:rsid w:val="007F56DE"/>
    <w:rsid w:val="00800275"/>
    <w:rsid w:val="008007B5"/>
    <w:rsid w:val="00803B79"/>
    <w:rsid w:val="00804BE7"/>
    <w:rsid w:val="00806CEA"/>
    <w:rsid w:val="00807665"/>
    <w:rsid w:val="00812965"/>
    <w:rsid w:val="00816283"/>
    <w:rsid w:val="00816F3A"/>
    <w:rsid w:val="00820BEB"/>
    <w:rsid w:val="008216E0"/>
    <w:rsid w:val="00833BF9"/>
    <w:rsid w:val="00841E27"/>
    <w:rsid w:val="00841EA4"/>
    <w:rsid w:val="00842377"/>
    <w:rsid w:val="00844647"/>
    <w:rsid w:val="00853F5E"/>
    <w:rsid w:val="00861063"/>
    <w:rsid w:val="00861FE7"/>
    <w:rsid w:val="00865B88"/>
    <w:rsid w:val="00875176"/>
    <w:rsid w:val="0088498D"/>
    <w:rsid w:val="008B3EA1"/>
    <w:rsid w:val="008B5C41"/>
    <w:rsid w:val="008C6AA9"/>
    <w:rsid w:val="008D3CAA"/>
    <w:rsid w:val="008D4D90"/>
    <w:rsid w:val="008E21EE"/>
    <w:rsid w:val="008F0CFE"/>
    <w:rsid w:val="008F1063"/>
    <w:rsid w:val="008F5D81"/>
    <w:rsid w:val="0090222D"/>
    <w:rsid w:val="00906C4F"/>
    <w:rsid w:val="00910A5B"/>
    <w:rsid w:val="00917B26"/>
    <w:rsid w:val="009337CF"/>
    <w:rsid w:val="0094110E"/>
    <w:rsid w:val="009572A7"/>
    <w:rsid w:val="009574B3"/>
    <w:rsid w:val="00957D79"/>
    <w:rsid w:val="00961345"/>
    <w:rsid w:val="00961386"/>
    <w:rsid w:val="009633F4"/>
    <w:rsid w:val="0097226C"/>
    <w:rsid w:val="00972E45"/>
    <w:rsid w:val="00987BB6"/>
    <w:rsid w:val="00987C51"/>
    <w:rsid w:val="00992226"/>
    <w:rsid w:val="0099296C"/>
    <w:rsid w:val="009A0ED6"/>
    <w:rsid w:val="009A2C3C"/>
    <w:rsid w:val="009B275A"/>
    <w:rsid w:val="009B5E54"/>
    <w:rsid w:val="009C0C10"/>
    <w:rsid w:val="009C1866"/>
    <w:rsid w:val="009C2AE8"/>
    <w:rsid w:val="009D74F8"/>
    <w:rsid w:val="009F4C1C"/>
    <w:rsid w:val="00A02005"/>
    <w:rsid w:val="00A024A1"/>
    <w:rsid w:val="00A03D6E"/>
    <w:rsid w:val="00A13C0B"/>
    <w:rsid w:val="00A1659D"/>
    <w:rsid w:val="00A16D11"/>
    <w:rsid w:val="00A203A9"/>
    <w:rsid w:val="00A21C64"/>
    <w:rsid w:val="00A23005"/>
    <w:rsid w:val="00A251CC"/>
    <w:rsid w:val="00A34613"/>
    <w:rsid w:val="00A34E5B"/>
    <w:rsid w:val="00A418E3"/>
    <w:rsid w:val="00A41BF0"/>
    <w:rsid w:val="00A438CE"/>
    <w:rsid w:val="00A5426C"/>
    <w:rsid w:val="00A7193D"/>
    <w:rsid w:val="00A775FC"/>
    <w:rsid w:val="00A8408C"/>
    <w:rsid w:val="00A90006"/>
    <w:rsid w:val="00A9562B"/>
    <w:rsid w:val="00AB428B"/>
    <w:rsid w:val="00AD15C2"/>
    <w:rsid w:val="00AF20AA"/>
    <w:rsid w:val="00AF396D"/>
    <w:rsid w:val="00B12C92"/>
    <w:rsid w:val="00B30E44"/>
    <w:rsid w:val="00B34D3C"/>
    <w:rsid w:val="00B36EF6"/>
    <w:rsid w:val="00B42A99"/>
    <w:rsid w:val="00B4536E"/>
    <w:rsid w:val="00B457B5"/>
    <w:rsid w:val="00B52D8B"/>
    <w:rsid w:val="00B53FCC"/>
    <w:rsid w:val="00B549D6"/>
    <w:rsid w:val="00B60BCA"/>
    <w:rsid w:val="00B7564D"/>
    <w:rsid w:val="00B908F6"/>
    <w:rsid w:val="00B9192A"/>
    <w:rsid w:val="00BA7508"/>
    <w:rsid w:val="00BA7678"/>
    <w:rsid w:val="00BB1938"/>
    <w:rsid w:val="00BD3988"/>
    <w:rsid w:val="00BE5573"/>
    <w:rsid w:val="00BF1326"/>
    <w:rsid w:val="00BF6151"/>
    <w:rsid w:val="00C07F0F"/>
    <w:rsid w:val="00C10F69"/>
    <w:rsid w:val="00C17AF8"/>
    <w:rsid w:val="00C23D4A"/>
    <w:rsid w:val="00C24390"/>
    <w:rsid w:val="00C35F3C"/>
    <w:rsid w:val="00C4145A"/>
    <w:rsid w:val="00C47B62"/>
    <w:rsid w:val="00C50D29"/>
    <w:rsid w:val="00C52ECF"/>
    <w:rsid w:val="00C554BE"/>
    <w:rsid w:val="00C72FDC"/>
    <w:rsid w:val="00C81420"/>
    <w:rsid w:val="00C8298C"/>
    <w:rsid w:val="00C92DED"/>
    <w:rsid w:val="00C96181"/>
    <w:rsid w:val="00CD5273"/>
    <w:rsid w:val="00CE40DC"/>
    <w:rsid w:val="00CE4A61"/>
    <w:rsid w:val="00CE5320"/>
    <w:rsid w:val="00D01980"/>
    <w:rsid w:val="00D06E48"/>
    <w:rsid w:val="00D07AB5"/>
    <w:rsid w:val="00D10201"/>
    <w:rsid w:val="00D311A8"/>
    <w:rsid w:val="00D32726"/>
    <w:rsid w:val="00D40774"/>
    <w:rsid w:val="00D476BD"/>
    <w:rsid w:val="00D63143"/>
    <w:rsid w:val="00D64817"/>
    <w:rsid w:val="00D706C8"/>
    <w:rsid w:val="00D77342"/>
    <w:rsid w:val="00D83B72"/>
    <w:rsid w:val="00D951C0"/>
    <w:rsid w:val="00DA2983"/>
    <w:rsid w:val="00DA7564"/>
    <w:rsid w:val="00DB43B1"/>
    <w:rsid w:val="00DC19F3"/>
    <w:rsid w:val="00DD3E3F"/>
    <w:rsid w:val="00DD6874"/>
    <w:rsid w:val="00DE68F2"/>
    <w:rsid w:val="00DE6A1B"/>
    <w:rsid w:val="00E26EE8"/>
    <w:rsid w:val="00E534D0"/>
    <w:rsid w:val="00E56C00"/>
    <w:rsid w:val="00E65D03"/>
    <w:rsid w:val="00E70507"/>
    <w:rsid w:val="00E908D4"/>
    <w:rsid w:val="00E933F2"/>
    <w:rsid w:val="00EB08E5"/>
    <w:rsid w:val="00EB1304"/>
    <w:rsid w:val="00EC4468"/>
    <w:rsid w:val="00ED0D50"/>
    <w:rsid w:val="00ED6867"/>
    <w:rsid w:val="00EE3A37"/>
    <w:rsid w:val="00EE61E3"/>
    <w:rsid w:val="00EE758F"/>
    <w:rsid w:val="00EF15FC"/>
    <w:rsid w:val="00EF4817"/>
    <w:rsid w:val="00F0096B"/>
    <w:rsid w:val="00F03608"/>
    <w:rsid w:val="00F2176B"/>
    <w:rsid w:val="00F23D7A"/>
    <w:rsid w:val="00F33AA3"/>
    <w:rsid w:val="00F430A3"/>
    <w:rsid w:val="00F56A89"/>
    <w:rsid w:val="00F57440"/>
    <w:rsid w:val="00F577A3"/>
    <w:rsid w:val="00F71E65"/>
    <w:rsid w:val="00F87F4B"/>
    <w:rsid w:val="00F92436"/>
    <w:rsid w:val="00F94636"/>
    <w:rsid w:val="00FA470E"/>
    <w:rsid w:val="00FB67B3"/>
    <w:rsid w:val="00FB6814"/>
    <w:rsid w:val="00FC1A1B"/>
    <w:rsid w:val="00FC4F3A"/>
    <w:rsid w:val="00FC531B"/>
    <w:rsid w:val="00FC672C"/>
    <w:rsid w:val="00FC7B29"/>
    <w:rsid w:val="00FD25D5"/>
    <w:rsid w:val="00FD3EFA"/>
    <w:rsid w:val="00FD49AA"/>
    <w:rsid w:val="00FE0759"/>
    <w:rsid w:val="00FE69C6"/>
    <w:rsid w:val="00FE6B2E"/>
    <w:rsid w:val="00FF3E4B"/>
    <w:rsid w:val="00FF611B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Шкода</dc:creator>
  <cp:lastModifiedBy>Шкода</cp:lastModifiedBy>
  <cp:revision>24</cp:revision>
  <cp:lastPrinted>2015-01-29T11:33:00Z</cp:lastPrinted>
  <dcterms:created xsi:type="dcterms:W3CDTF">2015-01-28T09:53:00Z</dcterms:created>
  <dcterms:modified xsi:type="dcterms:W3CDTF">2016-04-20T07:46:00Z</dcterms:modified>
</cp:coreProperties>
</file>