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tabs>
          <w:tab w:leader="none" w:pos="709" w:val="left"/>
        </w:tabs>
        <w:ind/>
        <w:rPr>
          <w:sz w:val="24"/>
        </w:rPr>
      </w:pPr>
    </w:p>
    <w:p w14:paraId="03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 xml:space="preserve">Муниципальная программа </w:t>
      </w:r>
    </w:p>
    <w:p w14:paraId="04000000">
      <w:pPr>
        <w:tabs>
          <w:tab w:leader="none" w:pos="709" w:val="left"/>
        </w:tabs>
        <w:ind/>
        <w:jc w:val="center"/>
        <w:rPr>
          <w:color w:val="000000"/>
          <w:sz w:val="28"/>
        </w:rPr>
      </w:pPr>
      <w:r>
        <w:rPr>
          <w:color w:val="000000"/>
        </w:rPr>
        <w:t>«</w:t>
      </w:r>
      <w:r>
        <w:rPr>
          <w:b w:val="1"/>
        </w:rPr>
        <w:t xml:space="preserve">Создание условий для эффективного и ответственного управления муниципальными финансами, повышения устойчивости бюджета </w:t>
      </w:r>
      <w:r>
        <w:rPr>
          <w:b w:val="1"/>
          <w:color w:val="000000"/>
        </w:rPr>
        <w:t>муниципального образования ЗАТО г. Североморск»</w:t>
      </w:r>
      <w:r>
        <w:rPr>
          <w:color w:val="000000"/>
          <w:sz w:val="28"/>
        </w:rPr>
        <w:t xml:space="preserve"> </w:t>
      </w:r>
    </w:p>
    <w:p w14:paraId="05000000">
      <w:pPr>
        <w:tabs>
          <w:tab w:leader="none" w:pos="709" w:val="left"/>
        </w:tabs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на 2027</w:t>
      </w:r>
      <w:r>
        <w:rPr>
          <w:b w:val="1"/>
          <w:color w:val="000000"/>
        </w:rPr>
        <w:t xml:space="preserve"> - 20</w:t>
      </w:r>
      <w:r>
        <w:rPr>
          <w:b w:val="1"/>
          <w:color w:val="000000"/>
        </w:rPr>
        <w:t>30</w:t>
      </w:r>
      <w:r>
        <w:rPr>
          <w:b w:val="1"/>
          <w:color w:val="000000"/>
        </w:rPr>
        <w:t xml:space="preserve"> годы</w:t>
      </w:r>
    </w:p>
    <w:p w14:paraId="06000000">
      <w:pPr>
        <w:tabs>
          <w:tab w:leader="none" w:pos="709" w:val="left"/>
        </w:tabs>
        <w:ind/>
        <w:jc w:val="center"/>
        <w:rPr>
          <w:b w:val="1"/>
          <w:color w:val="000000"/>
        </w:rPr>
      </w:pPr>
    </w:p>
    <w:p w14:paraId="07000000">
      <w:pPr>
        <w:tabs>
          <w:tab w:leader="none" w:pos="709" w:val="left"/>
        </w:tabs>
        <w:ind/>
        <w:jc w:val="center"/>
        <w:rPr>
          <w:b w:val="1"/>
        </w:rPr>
      </w:pPr>
    </w:p>
    <w:p w14:paraId="08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</w:rPr>
      </w:pPr>
      <w:r>
        <w:rPr>
          <w:b w:val="1"/>
        </w:rPr>
        <w:t>Паспорт муниципальной программы</w:t>
      </w:r>
    </w:p>
    <w:p w14:paraId="09000000"/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446"/>
        <w:gridCol w:w="7021"/>
      </w:tblGrid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tabs>
                <w:tab w:leader="none" w:pos="709" w:val="left"/>
              </w:tabs>
              <w:spacing w:line="276" w:lineRule="auto"/>
              <w:ind/>
            </w:pPr>
            <w:r>
              <w:rPr>
                <w:spacing w:val="-4"/>
              </w:rPr>
              <w:t>Заказчик – координатор муниципальной пр</w:t>
            </w:r>
            <w:r>
              <w:rPr>
                <w:spacing w:val="-4"/>
              </w:rPr>
              <w:t>о</w:t>
            </w:r>
            <w:r>
              <w:rPr>
                <w:spacing w:val="-4"/>
              </w:rPr>
              <w:t xml:space="preserve">граммы 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Управление финансов администрации ЗАТО г. Североморск</w:t>
            </w:r>
          </w:p>
        </w:tc>
      </w:tr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 xml:space="preserve">Заказчики муниципальной программы 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spacing w:line="276" w:lineRule="auto"/>
              <w:ind/>
            </w:pPr>
            <w:r>
              <w:t>Управление финансов администрации ЗАТО г. Североморск</w:t>
            </w:r>
          </w:p>
        </w:tc>
      </w:tr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 xml:space="preserve">Цели </w:t>
            </w:r>
          </w:p>
          <w:p w14:paraId="0F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line="276" w:lineRule="auto"/>
              <w:ind/>
            </w:pPr>
            <w:r>
              <w:t>Обеспечение эффективного управления муниципальными финансами</w:t>
            </w:r>
          </w:p>
        </w:tc>
      </w:tr>
      <w:tr>
        <w:trPr>
          <w:trHeight w:hRule="atLeast" w:val="1108"/>
        </w:trP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 xml:space="preserve">Задачи </w:t>
            </w:r>
          </w:p>
          <w:p w14:paraId="12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line="276" w:lineRule="auto"/>
              <w:ind/>
              <w:jc w:val="both"/>
            </w:pPr>
            <w:r>
              <w:t>Обеспечение долгосрочной сбалансированности и устойчивости бюджета муниципального образования ЗАТО г. Североморск, оптимизация управления муниципальным долгом ЗАТО               г. Североморск и повышение качества бюджетного процесса в ЗАТО г. Североморск.</w:t>
            </w:r>
          </w:p>
        </w:tc>
      </w:tr>
      <w:tr>
        <w:trPr>
          <w:trHeight w:hRule="atLeast" w:val="714"/>
        </w:trP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tabs>
                <w:tab w:leader="none" w:pos="709" w:val="left"/>
              </w:tabs>
              <w:spacing w:line="276" w:lineRule="auto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Важнейшие целевые показатели (индикаторы) реализации </w:t>
            </w:r>
            <w:r>
              <w:t>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line="276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1. Объем налоговых и неналоговых доходов местного бюджета ЗАТО г. Североморск, тыс. руб.</w:t>
            </w:r>
          </w:p>
          <w:p w14:paraId="16000000">
            <w:pPr>
              <w:spacing w:line="276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Степень качества управления муниципальными финансами, присвоенная ЗАТО г. Североморск Министерством финансов Мурманской области, группа.</w:t>
            </w:r>
          </w:p>
          <w:p w14:paraId="17000000">
            <w:pPr>
              <w:spacing w:line="276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Доля расходов местного бюджета, формируемых в рамках муниципальных программ, %.</w:t>
            </w:r>
          </w:p>
          <w:p w14:paraId="18000000">
            <w:pPr>
              <w:spacing w:line="276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4. Доля доходов местного бюджета от использования объектов муниципального имущества в общем объеме доходов, %.</w:t>
            </w:r>
          </w:p>
          <w:p w14:paraId="19000000">
            <w:pPr>
              <w:spacing w:line="276" w:lineRule="auto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5. Доля просроченной кредиторской задолженности в общем объеме расходов бюджета, %.</w:t>
            </w:r>
          </w:p>
        </w:tc>
      </w:tr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Перечень подпрограмм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tabs>
                <w:tab w:leader="none" w:pos="459" w:val="left"/>
              </w:tabs>
              <w:spacing w:line="276" w:lineRule="auto"/>
              <w:ind/>
              <w:rPr>
                <w:b w:val="1"/>
              </w:rPr>
            </w:pPr>
            <w:r>
              <w:t>Подпрограмма 1. «Управление муниципальными финансами»</w:t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Сроки и этапы реализации 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2027</w:t>
            </w:r>
            <w:r>
              <w:t xml:space="preserve"> – 20</w:t>
            </w:r>
            <w:r>
              <w:t>30</w:t>
            </w:r>
            <w:r>
              <w:t xml:space="preserve"> годы</w:t>
            </w:r>
          </w:p>
        </w:tc>
      </w:tr>
      <w:t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Финансовое обеспечение 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 xml:space="preserve">Всего по муниципальной программе: </w:t>
            </w:r>
            <w:r>
              <w:rPr>
                <w:b w:val="1"/>
              </w:rPr>
              <w:t>361 896,27</w:t>
            </w:r>
            <w:r>
              <w:rPr>
                <w:b w:val="1"/>
              </w:rPr>
              <w:t xml:space="preserve"> </w:t>
            </w:r>
            <w:r>
              <w:t>тыс. руб., в том числе:</w:t>
            </w:r>
          </w:p>
          <w:p w14:paraId="20000000">
            <w:pPr>
              <w:tabs>
                <w:tab w:leader="none" w:pos="709" w:val="left"/>
              </w:tabs>
              <w:spacing w:line="276" w:lineRule="auto"/>
              <w:ind/>
            </w:pPr>
            <w:r>
              <w:rPr>
                <w:b w:val="0"/>
              </w:rPr>
              <w:t>МБ: 361 896,27</w:t>
            </w:r>
            <w:r>
              <w:rPr>
                <w:b w:val="0"/>
              </w:rPr>
              <w:t xml:space="preserve"> тыс. р</w:t>
            </w:r>
            <w:r>
              <w:t>уб., из них:</w:t>
            </w:r>
          </w:p>
          <w:p w14:paraId="21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2027 – 103 815,80 тыс. руб.</w:t>
            </w:r>
          </w:p>
          <w:p w14:paraId="22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2028 – 99 593,85 тыс. руб.</w:t>
            </w:r>
          </w:p>
          <w:p w14:paraId="23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2029 – 99 408,56</w:t>
            </w:r>
            <w:r>
              <w:t xml:space="preserve"> тыс. руб.</w:t>
            </w:r>
          </w:p>
          <w:p w14:paraId="24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2030 – 59 078,06</w:t>
            </w:r>
            <w:r>
              <w:t xml:space="preserve"> тыс. руб.</w:t>
            </w:r>
          </w:p>
          <w:p w14:paraId="25000000">
            <w:pPr>
              <w:tabs>
                <w:tab w:leader="none" w:pos="709" w:val="left"/>
              </w:tabs>
              <w:spacing w:line="276" w:lineRule="auto"/>
              <w:ind/>
            </w:pPr>
          </w:p>
          <w:p w14:paraId="26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Подпрограмма 1. «Управление муниципальными финансами»</w:t>
            </w:r>
          </w:p>
          <w:p w14:paraId="27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 xml:space="preserve">Всего по подпрограмме: </w:t>
            </w:r>
            <w:r>
              <w:rPr>
                <w:b w:val="1"/>
              </w:rPr>
              <w:t xml:space="preserve">361 896,27 </w:t>
            </w:r>
            <w:r>
              <w:t>тыс. руб., в том числе:</w:t>
            </w:r>
          </w:p>
          <w:p w14:paraId="28000000">
            <w:pPr>
              <w:tabs>
                <w:tab w:leader="none" w:pos="709" w:val="left"/>
              </w:tabs>
              <w:spacing w:line="276" w:lineRule="auto"/>
              <w:ind/>
            </w:pPr>
            <w:r>
              <w:rPr>
                <w:b w:val="0"/>
              </w:rPr>
              <w:t>МБ: 361 896,27</w:t>
            </w:r>
            <w:r>
              <w:rPr>
                <w:b w:val="0"/>
              </w:rPr>
              <w:t xml:space="preserve"> тыс. р</w:t>
            </w:r>
            <w:r>
              <w:t>уб., из них:</w:t>
            </w:r>
          </w:p>
          <w:p w14:paraId="29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2027 – 103 815,80 тыс. руб.</w:t>
            </w:r>
          </w:p>
          <w:p w14:paraId="2A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2028 – 99 593,85 тыс. руб.</w:t>
            </w:r>
          </w:p>
          <w:p w14:paraId="2B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2029 – 99 408,56</w:t>
            </w:r>
            <w:r>
              <w:t xml:space="preserve"> тыс. руб.</w:t>
            </w:r>
          </w:p>
          <w:p w14:paraId="2C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2030 – 59 078,06</w:t>
            </w:r>
            <w:r>
              <w:t xml:space="preserve"> тыс. руб.</w:t>
            </w:r>
          </w:p>
        </w:tc>
      </w:tr>
      <w:tr>
        <w:trPr>
          <w:trHeight w:hRule="atLeast" w:val="350"/>
        </w:trPr>
        <w:tc>
          <w:tcPr>
            <w:tcW w:type="dxa" w:w="2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tabs>
                <w:tab w:leader="none" w:pos="709" w:val="left"/>
              </w:tabs>
              <w:spacing w:line="276" w:lineRule="auto"/>
              <w:ind/>
            </w:pPr>
            <w:r>
              <w:t>Ожидаемые конечные результаты реализации программы</w:t>
            </w:r>
          </w:p>
        </w:tc>
        <w:tc>
          <w:tcPr>
            <w:tcW w:type="dxa" w:w="7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line="276" w:lineRule="auto"/>
              <w:ind/>
              <w:jc w:val="both"/>
            </w:pPr>
            <w:r>
              <w:t>До конца срока реализации подпрограммы 2030 года необходимо достичь следующих результатов:</w:t>
            </w:r>
          </w:p>
          <w:p w14:paraId="2F000000">
            <w:pPr>
              <w:spacing w:line="276" w:lineRule="auto"/>
              <w:ind/>
              <w:jc w:val="both"/>
            </w:pPr>
            <w:r>
              <w:t xml:space="preserve">1. Объем налоговых и неналоговых доходов местного бюджета ЗАТО г. Североморск, тыс. руб.- 1 346 695,2; </w:t>
            </w:r>
          </w:p>
          <w:p w14:paraId="30000000">
            <w:pPr>
              <w:spacing w:line="276" w:lineRule="auto"/>
              <w:ind/>
              <w:jc w:val="both"/>
            </w:pPr>
            <w:r>
              <w:t>2.</w:t>
            </w:r>
            <w:r>
              <w:t xml:space="preserve"> </w:t>
            </w:r>
            <w:r>
              <w:t>Степень качества управления муниципальными финансами, присвоенная ЗАТО г. Североморск Министерством финансов Мурманской области, группа – не ниже 2.</w:t>
            </w:r>
          </w:p>
          <w:p w14:paraId="31000000">
            <w:pPr>
              <w:spacing w:line="276" w:lineRule="auto"/>
              <w:ind/>
              <w:jc w:val="both"/>
            </w:pPr>
            <w:r>
              <w:t>3.</w:t>
            </w:r>
            <w:r>
              <w:t xml:space="preserve"> </w:t>
            </w:r>
            <w:r>
              <w:t>Доля расходов местного бюджета, формируемых в рамках муниципальных программ, % - 95.</w:t>
            </w:r>
          </w:p>
          <w:p w14:paraId="32000000">
            <w:pPr>
              <w:spacing w:line="276" w:lineRule="auto"/>
              <w:ind/>
              <w:jc w:val="both"/>
            </w:pPr>
            <w:r>
              <w:t>4. Доля доходов местного бюджета от использования объектов муниципального имущества в общем объеме доходов, % - 1,0.</w:t>
            </w:r>
          </w:p>
          <w:p w14:paraId="33000000">
            <w:pPr>
              <w:spacing w:line="276" w:lineRule="auto"/>
              <w:ind/>
              <w:jc w:val="both"/>
            </w:pPr>
            <w:r>
              <w:t>5. Доля просроченной кредиторской задолженности в общем объеме расходов бюджета, % - 0.</w:t>
            </w:r>
          </w:p>
        </w:tc>
      </w:tr>
    </w:tbl>
    <w:p w14:paraId="34000000"/>
    <w:p w14:paraId="35000000">
      <w:pPr>
        <w:rPr>
          <w:sz w:val="10"/>
        </w:rPr>
      </w:pPr>
    </w:p>
    <w:sectPr>
      <w:headerReference r:id="rId1" w:type="default"/>
      <w:pgSz w:h="16838" w:orient="portrait" w:w="11906"/>
      <w:pgMar w:bottom="1134" w:footer="0" w:gutter="0" w:header="0" w:left="1701" w:right="1134" w:top="62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624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TML Preformatted"/>
    <w:basedOn w:val="Style_4"/>
    <w:link w:val="Style_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6_ch" w:type="character">
    <w:name w:val="HTML Preformatted"/>
    <w:basedOn w:val="Style_4_ch"/>
    <w:link w:val="Style_6"/>
    <w:rPr>
      <w:rFonts w:ascii="Courier New" w:hAnsi="Courier New"/>
      <w:sz w:val="20"/>
    </w:rPr>
  </w:style>
  <w:style w:styleId="Style_7" w:type="paragraph">
    <w:name w:val="ConsPlusCell"/>
    <w:link w:val="Style_7_ch"/>
    <w:pPr>
      <w:widowControl w:val="0"/>
      <w:ind/>
    </w:pPr>
    <w:rPr>
      <w:rFonts w:ascii="Arial" w:hAnsi="Arial"/>
    </w:rPr>
  </w:style>
  <w:style w:styleId="Style_7_ch" w:type="character">
    <w:name w:val="ConsPlusCell"/>
    <w:link w:val="Style_7"/>
    <w:rPr>
      <w:rFonts w:ascii="Arial" w:hAnsi="Arial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nt Style73"/>
    <w:link w:val="Style_11_ch"/>
    <w:rPr>
      <w:rFonts w:ascii="Times New Roman" w:hAnsi="Times New Roman"/>
      <w:sz w:val="22"/>
    </w:rPr>
  </w:style>
  <w:style w:styleId="Style_11_ch" w:type="character">
    <w:name w:val="Font Style73"/>
    <w:link w:val="Style_11"/>
    <w:rPr>
      <w:rFonts w:ascii="Times New Roman" w:hAnsi="Times New Roman"/>
      <w:sz w:val="22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4"/>
    <w:next w:val="Style_4"/>
    <w:link w:val="Style_13_ch"/>
    <w:uiPriority w:val="9"/>
    <w:qFormat/>
    <w:pPr>
      <w:keepNext w:val="1"/>
      <w:ind/>
      <w:jc w:val="center"/>
      <w:outlineLvl w:val="2"/>
    </w:pPr>
    <w:rPr>
      <w:b w:val="1"/>
      <w:sz w:val="18"/>
    </w:rPr>
  </w:style>
  <w:style w:styleId="Style_13_ch" w:type="character">
    <w:name w:val="heading 3"/>
    <w:basedOn w:val="Style_4_ch"/>
    <w:link w:val="Style_13"/>
    <w:rPr>
      <w:b w:val="1"/>
      <w:sz w:val="18"/>
    </w:rPr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No Spacing"/>
    <w:link w:val="Style_15_ch"/>
    <w:pPr>
      <w:widowControl w:val="0"/>
      <w:ind/>
    </w:pPr>
  </w:style>
  <w:style w:styleId="Style_15_ch" w:type="character">
    <w:name w:val="No Spacing"/>
    <w:link w:val="Style_15"/>
  </w:style>
  <w:style w:styleId="Style_16" w:type="paragraph">
    <w:name w:val="Body Text Indent 3"/>
    <w:basedOn w:val="Style_4"/>
    <w:link w:val="Style_16_ch"/>
    <w:pPr>
      <w:spacing w:after="120"/>
      <w:ind w:firstLine="0" w:left="283"/>
    </w:pPr>
    <w:rPr>
      <w:sz w:val="16"/>
    </w:rPr>
  </w:style>
  <w:style w:styleId="Style_16_ch" w:type="character">
    <w:name w:val="Body Text Indent 3"/>
    <w:basedOn w:val="Style_4_ch"/>
    <w:link w:val="Style_16"/>
    <w:rPr>
      <w:sz w:val="16"/>
    </w:rPr>
  </w:style>
  <w:style w:styleId="Style_17" w:type="paragraph">
    <w:name w:val="Body Text 2"/>
    <w:basedOn w:val="Style_4"/>
    <w:link w:val="Style_17_ch"/>
    <w:pPr>
      <w:spacing w:after="120" w:line="480" w:lineRule="auto"/>
      <w:ind/>
    </w:pPr>
  </w:style>
  <w:style w:styleId="Style_17_ch" w:type="character">
    <w:name w:val="Body Text 2"/>
    <w:basedOn w:val="Style_4_ch"/>
    <w:link w:val="Style_17"/>
  </w:style>
  <w:style w:styleId="Style_18" w:type="paragraph">
    <w:name w:val="Body Text"/>
    <w:basedOn w:val="Style_4"/>
    <w:link w:val="Style_18_ch"/>
    <w:rPr>
      <w:sz w:val="28"/>
    </w:rPr>
  </w:style>
  <w:style w:styleId="Style_18_ch" w:type="character">
    <w:name w:val="Body Text"/>
    <w:basedOn w:val="Style_4_ch"/>
    <w:link w:val="Style_18"/>
    <w:rPr>
      <w:sz w:val="28"/>
    </w:rPr>
  </w:style>
  <w:style w:styleId="Style_19" w:type="paragraph">
    <w:name w:val="FollowedHyperlink"/>
    <w:link w:val="Style_19_ch"/>
    <w:rPr>
      <w:color w:val="800080"/>
      <w:u w:val="single"/>
    </w:rPr>
  </w:style>
  <w:style w:styleId="Style_19_ch" w:type="character">
    <w:name w:val="FollowedHyperlink"/>
    <w:link w:val="Style_19"/>
    <w:rPr>
      <w:color w:val="800080"/>
      <w:u w:val="single"/>
    </w:rPr>
  </w:style>
  <w:style w:styleId="Style_1" w:type="paragraph">
    <w:name w:val="удалить"/>
    <w:basedOn w:val="Style_4"/>
    <w:link w:val="Style_1_ch"/>
  </w:style>
  <w:style w:styleId="Style_1_ch" w:type="character">
    <w:name w:val="удалить"/>
    <w:basedOn w:val="Style_4_ch"/>
    <w:link w:val="Style_1"/>
  </w:style>
  <w:style w:styleId="Style_20" w:type="paragraph">
    <w:name w:val="Balloon Text"/>
    <w:basedOn w:val="Style_4"/>
    <w:link w:val="Style_20_ch"/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3"/>
    <w:next w:val="Style_4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List Paragraph1"/>
    <w:basedOn w:val="Style_4"/>
    <w:link w:val="Style_22_ch"/>
    <w:pPr>
      <w:ind w:firstLine="0" w:left="720"/>
      <w:contextualSpacing w:val="1"/>
    </w:pPr>
  </w:style>
  <w:style w:styleId="Style_22_ch" w:type="character">
    <w:name w:val="List Paragraph1"/>
    <w:basedOn w:val="Style_4_ch"/>
    <w:link w:val="Style_22"/>
  </w:style>
  <w:style w:styleId="Style_23" w:type="paragraph">
    <w:name w:val="ConsPlusNonformat"/>
    <w:link w:val="Style_23_ch"/>
    <w:rPr>
      <w:rFonts w:ascii="Courier New" w:hAnsi="Courier New"/>
    </w:rPr>
  </w:style>
  <w:style w:styleId="Style_23_ch" w:type="character">
    <w:name w:val="ConsPlusNonformat"/>
    <w:link w:val="Style_23"/>
    <w:rPr>
      <w:rFonts w:ascii="Courier New" w:hAnsi="Courier New"/>
    </w:rPr>
  </w:style>
  <w:style w:styleId="Style_24" w:type="paragraph">
    <w:name w:val="heading 5"/>
    <w:next w:val="Style_4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basedOn w:val="Style_4"/>
    <w:next w:val="Style_4"/>
    <w:link w:val="Style_25_ch"/>
    <w:uiPriority w:val="9"/>
    <w:qFormat/>
    <w:pPr>
      <w:keepNext w:val="1"/>
      <w:ind/>
      <w:jc w:val="center"/>
      <w:outlineLvl w:val="0"/>
    </w:pPr>
    <w:rPr>
      <w:b w:val="1"/>
      <w:spacing w:val="90"/>
      <w:sz w:val="64"/>
    </w:rPr>
  </w:style>
  <w:style w:styleId="Style_25_ch" w:type="character">
    <w:name w:val="heading 1"/>
    <w:basedOn w:val="Style_4_ch"/>
    <w:link w:val="Style_25"/>
    <w:rPr>
      <w:b w:val="1"/>
      <w:spacing w:val="90"/>
      <w:sz w:val="64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4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header"/>
    <w:basedOn w:val="Style_4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4_ch"/>
    <w:link w:val="Style_30"/>
  </w:style>
  <w:style w:styleId="Style_31" w:type="paragraph">
    <w:name w:val="ConsPlusNormal"/>
    <w:link w:val="Style_31_ch"/>
    <w:pPr>
      <w:widowControl w:val="0"/>
      <w:ind w:firstLine="720" w:left="0"/>
    </w:pPr>
    <w:rPr>
      <w:rFonts w:ascii="Arial" w:hAnsi="Arial"/>
    </w:rPr>
  </w:style>
  <w:style w:styleId="Style_31_ch" w:type="character">
    <w:name w:val="ConsPlusNormal"/>
    <w:link w:val="Style_31"/>
    <w:rPr>
      <w:rFonts w:ascii="Arial" w:hAnsi="Arial"/>
    </w:rPr>
  </w:style>
  <w:style w:styleId="Style_32" w:type="paragraph">
    <w:name w:val="List Paragraph"/>
    <w:basedOn w:val="Style_4"/>
    <w:link w:val="Style_32_ch"/>
    <w:pPr>
      <w:ind w:firstLine="0" w:left="720"/>
      <w:contextualSpacing w:val="1"/>
    </w:pPr>
  </w:style>
  <w:style w:styleId="Style_32_ch" w:type="character">
    <w:name w:val="List Paragraph"/>
    <w:basedOn w:val="Style_4_ch"/>
    <w:link w:val="Style_32"/>
  </w:style>
  <w:style w:styleId="Style_33" w:type="paragraph">
    <w:name w:val="footer"/>
    <w:basedOn w:val="Style_4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4_ch"/>
    <w:link w:val="Style_33"/>
  </w:style>
  <w:style w:styleId="Style_34" w:type="paragraph">
    <w:name w:val="toc 9"/>
    <w:next w:val="Style_4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Body Text Indent"/>
    <w:basedOn w:val="Style_4"/>
    <w:link w:val="Style_35_ch"/>
    <w:pPr>
      <w:spacing w:after="120"/>
      <w:ind w:firstLine="0" w:left="283"/>
    </w:pPr>
  </w:style>
  <w:style w:styleId="Style_35_ch" w:type="character">
    <w:name w:val="Body Text Indent"/>
    <w:basedOn w:val="Style_4_ch"/>
    <w:link w:val="Style_35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name w:val="toc 8"/>
    <w:next w:val="Style_4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toc 5"/>
    <w:next w:val="Style_4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Subtitle"/>
    <w:next w:val="Style_4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Default"/>
    <w:link w:val="Style_40_ch"/>
    <w:rPr>
      <w:rFonts w:ascii="Calibri" w:hAnsi="Calibri"/>
      <w:color w:val="000000"/>
      <w:sz w:val="24"/>
    </w:rPr>
  </w:style>
  <w:style w:styleId="Style_40_ch" w:type="character">
    <w:name w:val="Default"/>
    <w:link w:val="Style_40"/>
    <w:rPr>
      <w:rFonts w:ascii="Calibri" w:hAnsi="Calibri"/>
      <w:color w:val="000000"/>
      <w:sz w:val="24"/>
    </w:rPr>
  </w:style>
  <w:style w:styleId="Style_2" w:type="paragraph">
    <w:name w:val="Title"/>
    <w:basedOn w:val="Style_4"/>
    <w:link w:val="Style_2_ch"/>
    <w:uiPriority w:val="10"/>
    <w:qFormat/>
    <w:pPr>
      <w:ind/>
      <w:jc w:val="center"/>
    </w:pPr>
    <w:rPr>
      <w:b w:val="1"/>
      <w:sz w:val="32"/>
    </w:rPr>
  </w:style>
  <w:style w:styleId="Style_2_ch" w:type="character">
    <w:name w:val="Title"/>
    <w:basedOn w:val="Style_4_ch"/>
    <w:link w:val="Style_2"/>
    <w:rPr>
      <w:b w:val="1"/>
      <w:sz w:val="32"/>
    </w:rPr>
  </w:style>
  <w:style w:styleId="Style_41" w:type="paragraph">
    <w:name w:val="heading 4"/>
    <w:basedOn w:val="Style_4"/>
    <w:next w:val="Style_4"/>
    <w:link w:val="Style_41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1_ch" w:type="character">
    <w:name w:val="heading 4"/>
    <w:basedOn w:val="Style_4_ch"/>
    <w:link w:val="Style_41"/>
    <w:rPr>
      <w:b w:val="1"/>
      <w:sz w:val="28"/>
    </w:rPr>
  </w:style>
  <w:style w:styleId="Style_42" w:type="paragraph">
    <w:name w:val="Style14"/>
    <w:basedOn w:val="Style_4"/>
    <w:link w:val="Style_42_ch"/>
    <w:pPr>
      <w:widowControl w:val="0"/>
      <w:spacing w:line="274" w:lineRule="exact"/>
      <w:ind/>
      <w:jc w:val="both"/>
    </w:pPr>
  </w:style>
  <w:style w:styleId="Style_42_ch" w:type="character">
    <w:name w:val="Style14"/>
    <w:basedOn w:val="Style_4_ch"/>
    <w:link w:val="Style_42"/>
  </w:style>
  <w:style w:styleId="Style_43" w:type="paragraph">
    <w:name w:val="heading 2"/>
    <w:basedOn w:val="Style_4"/>
    <w:next w:val="Style_4"/>
    <w:link w:val="Style_43_ch"/>
    <w:uiPriority w:val="9"/>
    <w:qFormat/>
    <w:pPr>
      <w:keepNext w:val="1"/>
      <w:ind/>
      <w:jc w:val="center"/>
      <w:outlineLvl w:val="1"/>
    </w:pPr>
    <w:rPr>
      <w:b w:val="1"/>
    </w:rPr>
  </w:style>
  <w:style w:styleId="Style_43_ch" w:type="character">
    <w:name w:val="heading 2"/>
    <w:basedOn w:val="Style_4_ch"/>
    <w:link w:val="Style_43"/>
    <w:rPr>
      <w:b w:val="1"/>
    </w:rPr>
  </w:style>
  <w:style w:styleId="Style_44" w:type="paragraph">
    <w:name w:val="ConsPlusTitle"/>
    <w:link w:val="Style_44_ch"/>
    <w:pPr>
      <w:widowControl w:val="0"/>
      <w:ind/>
    </w:pPr>
    <w:rPr>
      <w:rFonts w:ascii="Calibri" w:hAnsi="Calibri"/>
      <w:b w:val="1"/>
      <w:sz w:val="22"/>
    </w:rPr>
  </w:style>
  <w:style w:styleId="Style_44_ch" w:type="character">
    <w:name w:val="ConsPlusTitle"/>
    <w:link w:val="Style_44"/>
    <w:rPr>
      <w:rFonts w:ascii="Calibri" w:hAnsi="Calibri"/>
      <w:b w:val="1"/>
      <w:sz w:val="22"/>
    </w:rPr>
  </w:style>
  <w:style w:styleId="Style_45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2024-11-08T12:31:15Z</dcterms:modified>
</cp:coreProperties>
</file>